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257" w:rsidRPr="00BD63EF" w:rsidRDefault="00540FB3" w:rsidP="00872B73">
      <w:pPr>
        <w:rPr>
          <w:rFonts w:ascii="Arial" w:hAnsi="Arial" w:cs="Arial"/>
          <w:b/>
          <w:sz w:val="28"/>
          <w:szCs w:val="24"/>
        </w:rPr>
      </w:pPr>
      <w:r w:rsidRPr="00BD63EF">
        <w:rPr>
          <w:rFonts w:ascii="Arial" w:hAnsi="Arial" w:cs="Arial"/>
          <w:b/>
          <w:sz w:val="28"/>
          <w:szCs w:val="24"/>
        </w:rPr>
        <w:t>Business Ethics, Supply Chains and a Living Wage</w:t>
      </w:r>
    </w:p>
    <w:p w:rsidR="00540FB3" w:rsidRPr="008001A9" w:rsidRDefault="00540FB3" w:rsidP="00872B73">
      <w:pPr>
        <w:rPr>
          <w:rFonts w:ascii="Arial" w:hAnsi="Arial" w:cs="Arial"/>
          <w:szCs w:val="24"/>
        </w:rPr>
      </w:pPr>
    </w:p>
    <w:p w:rsidR="00540FB3" w:rsidRPr="008001A9" w:rsidRDefault="00540FB3" w:rsidP="00872B73">
      <w:pPr>
        <w:rPr>
          <w:rFonts w:ascii="Arial" w:hAnsi="Arial" w:cs="Arial"/>
          <w:szCs w:val="24"/>
        </w:rPr>
      </w:pPr>
      <w:r w:rsidRPr="008001A9">
        <w:rPr>
          <w:rFonts w:ascii="Arial" w:hAnsi="Arial" w:cs="Arial"/>
          <w:szCs w:val="24"/>
        </w:rPr>
        <w:t>Date: Thursday, 3 April 2014</w:t>
      </w:r>
    </w:p>
    <w:p w:rsidR="00540FB3" w:rsidRPr="008001A9" w:rsidRDefault="00540FB3" w:rsidP="00872B73">
      <w:pPr>
        <w:rPr>
          <w:rFonts w:ascii="Arial" w:hAnsi="Arial" w:cs="Arial"/>
          <w:szCs w:val="24"/>
        </w:rPr>
      </w:pPr>
      <w:r w:rsidRPr="008001A9">
        <w:rPr>
          <w:rFonts w:ascii="Arial" w:hAnsi="Arial" w:cs="Arial"/>
          <w:szCs w:val="24"/>
        </w:rPr>
        <w:t xml:space="preserve">Lead: </w:t>
      </w:r>
      <w:r w:rsidR="00394E9E">
        <w:rPr>
          <w:rFonts w:ascii="Arial" w:hAnsi="Arial" w:cs="Arial"/>
          <w:szCs w:val="24"/>
        </w:rPr>
        <w:t xml:space="preserve">Dr </w:t>
      </w:r>
      <w:r w:rsidRPr="008001A9">
        <w:rPr>
          <w:rFonts w:ascii="Arial" w:hAnsi="Arial" w:cs="Arial"/>
          <w:szCs w:val="24"/>
        </w:rPr>
        <w:t xml:space="preserve">Tom Pegram, </w:t>
      </w:r>
      <w:hyperlink r:id="rId8" w:history="1">
        <w:r w:rsidRPr="008001A9">
          <w:rPr>
            <w:rStyle w:val="Hyperlink"/>
            <w:rFonts w:ascii="Arial" w:hAnsi="Arial" w:cs="Arial"/>
            <w:szCs w:val="24"/>
          </w:rPr>
          <w:t>t.pegram@ucl.ac.uk</w:t>
        </w:r>
      </w:hyperlink>
      <w:r w:rsidRPr="008001A9">
        <w:rPr>
          <w:rFonts w:ascii="Arial" w:hAnsi="Arial" w:cs="Arial"/>
          <w:szCs w:val="24"/>
        </w:rPr>
        <w:t xml:space="preserve"> </w:t>
      </w:r>
    </w:p>
    <w:p w:rsidR="00540FB3" w:rsidRPr="008001A9" w:rsidRDefault="00540FB3" w:rsidP="00872B73">
      <w:pPr>
        <w:rPr>
          <w:rFonts w:ascii="Arial" w:hAnsi="Arial" w:cs="Arial"/>
          <w:szCs w:val="24"/>
        </w:rPr>
      </w:pPr>
      <w:r w:rsidRPr="008001A9">
        <w:rPr>
          <w:rFonts w:ascii="Arial" w:hAnsi="Arial" w:cs="Arial"/>
          <w:szCs w:val="24"/>
        </w:rPr>
        <w:t>Venue: UCL/Institute of Global Governance</w:t>
      </w:r>
    </w:p>
    <w:p w:rsidR="00540FB3" w:rsidRPr="008001A9" w:rsidRDefault="00540FB3" w:rsidP="00872B73">
      <w:pPr>
        <w:rPr>
          <w:rFonts w:ascii="Arial" w:hAnsi="Arial" w:cs="Arial"/>
          <w:szCs w:val="24"/>
        </w:rPr>
      </w:pPr>
    </w:p>
    <w:p w:rsidR="00540FB3" w:rsidRPr="008001A9" w:rsidRDefault="003E05F9" w:rsidP="00872B73">
      <w:pPr>
        <w:rPr>
          <w:rFonts w:ascii="Arial" w:hAnsi="Arial" w:cs="Arial"/>
          <w:b/>
          <w:szCs w:val="24"/>
        </w:rPr>
      </w:pPr>
      <w:r w:rsidRPr="008001A9">
        <w:rPr>
          <w:rFonts w:ascii="Arial" w:hAnsi="Arial" w:cs="Arial"/>
          <w:b/>
          <w:szCs w:val="24"/>
        </w:rPr>
        <w:t>Participants</w:t>
      </w:r>
    </w:p>
    <w:p w:rsidR="00540FB3" w:rsidRPr="008001A9" w:rsidRDefault="00540FB3" w:rsidP="00872B73">
      <w:pPr>
        <w:rPr>
          <w:rFonts w:ascii="Arial" w:hAnsi="Arial" w:cs="Arial"/>
          <w:szCs w:val="24"/>
        </w:rPr>
      </w:pPr>
    </w:p>
    <w:p w:rsidR="00540FB3" w:rsidRPr="008001A9" w:rsidRDefault="00540FB3" w:rsidP="00872B73">
      <w:pPr>
        <w:pStyle w:val="ListParagraph"/>
        <w:numPr>
          <w:ilvl w:val="0"/>
          <w:numId w:val="2"/>
        </w:numPr>
        <w:rPr>
          <w:rFonts w:ascii="Arial" w:hAnsi="Arial" w:cs="Arial"/>
          <w:szCs w:val="24"/>
        </w:rPr>
      </w:pPr>
      <w:r w:rsidRPr="008001A9">
        <w:rPr>
          <w:rFonts w:ascii="Arial" w:hAnsi="Arial" w:cs="Arial"/>
          <w:szCs w:val="24"/>
        </w:rPr>
        <w:t>Prof Jeremy Moon</w:t>
      </w:r>
      <w:r w:rsidR="0042508A" w:rsidRPr="008001A9">
        <w:rPr>
          <w:rFonts w:ascii="Arial" w:hAnsi="Arial" w:cs="Arial"/>
          <w:szCs w:val="24"/>
        </w:rPr>
        <w:t>, Nottingham University</w:t>
      </w:r>
    </w:p>
    <w:p w:rsidR="0042508A" w:rsidRPr="008001A9" w:rsidRDefault="0042508A" w:rsidP="00872B73">
      <w:pPr>
        <w:pStyle w:val="ListParagraph"/>
        <w:numPr>
          <w:ilvl w:val="0"/>
          <w:numId w:val="2"/>
        </w:numPr>
        <w:rPr>
          <w:rFonts w:ascii="Arial" w:hAnsi="Arial" w:cs="Arial"/>
          <w:szCs w:val="24"/>
        </w:rPr>
      </w:pPr>
      <w:r w:rsidRPr="008001A9">
        <w:rPr>
          <w:rFonts w:ascii="Arial" w:hAnsi="Arial" w:cs="Arial"/>
          <w:szCs w:val="24"/>
        </w:rPr>
        <w:t>Dr Rory Sullivan, Ethix SRI Advisors</w:t>
      </w:r>
    </w:p>
    <w:p w:rsidR="0042508A" w:rsidRPr="008001A9" w:rsidRDefault="001B025C" w:rsidP="00872B73">
      <w:pPr>
        <w:pStyle w:val="ListParagraph"/>
        <w:numPr>
          <w:ilvl w:val="0"/>
          <w:numId w:val="2"/>
        </w:numPr>
        <w:rPr>
          <w:rFonts w:ascii="Arial" w:hAnsi="Arial" w:cs="Arial"/>
          <w:szCs w:val="24"/>
        </w:rPr>
      </w:pPr>
      <w:r w:rsidRPr="008001A9">
        <w:rPr>
          <w:rFonts w:ascii="Arial" w:hAnsi="Arial" w:cs="Arial"/>
          <w:szCs w:val="24"/>
        </w:rPr>
        <w:t xml:space="preserve">Mr </w:t>
      </w:r>
      <w:r w:rsidR="0042508A" w:rsidRPr="008001A9">
        <w:rPr>
          <w:rFonts w:ascii="Arial" w:hAnsi="Arial" w:cs="Arial"/>
          <w:szCs w:val="24"/>
        </w:rPr>
        <w:t>Luke Wilde, Director of Twenty Fifty</w:t>
      </w:r>
    </w:p>
    <w:p w:rsidR="0042508A" w:rsidRPr="008001A9" w:rsidRDefault="001B025C" w:rsidP="00872B73">
      <w:pPr>
        <w:pStyle w:val="ListParagraph"/>
        <w:numPr>
          <w:ilvl w:val="0"/>
          <w:numId w:val="2"/>
        </w:numPr>
        <w:rPr>
          <w:rFonts w:ascii="Arial" w:hAnsi="Arial" w:cs="Arial"/>
          <w:szCs w:val="24"/>
        </w:rPr>
      </w:pPr>
      <w:r w:rsidRPr="008001A9">
        <w:rPr>
          <w:rFonts w:ascii="Arial" w:hAnsi="Arial" w:cs="Arial"/>
          <w:szCs w:val="24"/>
        </w:rPr>
        <w:t xml:space="preserve">Ms </w:t>
      </w:r>
      <w:r w:rsidR="0042508A" w:rsidRPr="008001A9">
        <w:rPr>
          <w:rFonts w:ascii="Arial" w:hAnsi="Arial" w:cs="Arial"/>
          <w:szCs w:val="24"/>
        </w:rPr>
        <w:t>Rachel Wilshaw, Ethical Trade Manager for Oxfam GB</w:t>
      </w:r>
    </w:p>
    <w:p w:rsidR="00540FB3" w:rsidRPr="008001A9" w:rsidRDefault="00540FB3" w:rsidP="00872B73">
      <w:pPr>
        <w:rPr>
          <w:rFonts w:ascii="Arial" w:hAnsi="Arial" w:cs="Arial"/>
          <w:szCs w:val="24"/>
        </w:rPr>
      </w:pPr>
    </w:p>
    <w:p w:rsidR="0042508A" w:rsidRPr="008001A9" w:rsidRDefault="0042508A" w:rsidP="00872B73">
      <w:pPr>
        <w:rPr>
          <w:rFonts w:ascii="Arial" w:hAnsi="Arial" w:cs="Arial"/>
          <w:szCs w:val="24"/>
        </w:rPr>
      </w:pPr>
      <w:r w:rsidRPr="008001A9">
        <w:rPr>
          <w:rFonts w:ascii="Arial" w:hAnsi="Arial" w:cs="Arial"/>
          <w:szCs w:val="24"/>
        </w:rPr>
        <w:t>Chair: Mr Stephen Rubin</w:t>
      </w:r>
    </w:p>
    <w:p w:rsidR="0042508A" w:rsidRPr="008001A9" w:rsidRDefault="0042508A" w:rsidP="00872B73">
      <w:pPr>
        <w:rPr>
          <w:rFonts w:ascii="Arial" w:hAnsi="Arial" w:cs="Arial"/>
          <w:szCs w:val="24"/>
        </w:rPr>
      </w:pPr>
    </w:p>
    <w:p w:rsidR="0042508A" w:rsidRPr="008001A9" w:rsidRDefault="002E0F65" w:rsidP="00872B73">
      <w:pPr>
        <w:rPr>
          <w:rFonts w:ascii="Arial" w:hAnsi="Arial" w:cs="Arial"/>
          <w:b/>
          <w:szCs w:val="24"/>
        </w:rPr>
      </w:pPr>
      <w:r w:rsidRPr="008001A9">
        <w:rPr>
          <w:rFonts w:ascii="Arial" w:hAnsi="Arial" w:cs="Arial"/>
          <w:b/>
          <w:szCs w:val="24"/>
        </w:rPr>
        <w:t>Format</w:t>
      </w:r>
    </w:p>
    <w:p w:rsidR="0042508A" w:rsidRPr="008001A9" w:rsidRDefault="0042508A" w:rsidP="00872B73">
      <w:pPr>
        <w:rPr>
          <w:rFonts w:ascii="Arial" w:hAnsi="Arial" w:cs="Arial"/>
          <w:szCs w:val="24"/>
        </w:rPr>
      </w:pPr>
    </w:p>
    <w:p w:rsidR="0042508A" w:rsidRPr="008001A9" w:rsidRDefault="0042508A" w:rsidP="00872B73">
      <w:pPr>
        <w:rPr>
          <w:rFonts w:ascii="Arial" w:hAnsi="Arial" w:cs="Arial"/>
          <w:szCs w:val="24"/>
        </w:rPr>
      </w:pPr>
      <w:r w:rsidRPr="008001A9">
        <w:rPr>
          <w:rFonts w:ascii="Arial" w:hAnsi="Arial" w:cs="Arial"/>
          <w:szCs w:val="24"/>
        </w:rPr>
        <w:t>Roundtable 5.30-7pm, followed by reception</w:t>
      </w:r>
    </w:p>
    <w:p w:rsidR="0042508A" w:rsidRPr="008001A9" w:rsidRDefault="0042508A" w:rsidP="00872B73">
      <w:pPr>
        <w:rPr>
          <w:rFonts w:ascii="Arial" w:hAnsi="Arial" w:cs="Arial"/>
          <w:szCs w:val="24"/>
        </w:rPr>
      </w:pPr>
      <w:r w:rsidRPr="008001A9">
        <w:rPr>
          <w:rFonts w:ascii="Arial" w:hAnsi="Arial" w:cs="Arial"/>
          <w:szCs w:val="24"/>
        </w:rPr>
        <w:t>Advertised through UCL website, open to university community and the public</w:t>
      </w:r>
    </w:p>
    <w:p w:rsidR="0042508A" w:rsidRPr="008001A9" w:rsidRDefault="0042508A" w:rsidP="00872B73">
      <w:pPr>
        <w:rPr>
          <w:rFonts w:ascii="Arial" w:hAnsi="Arial" w:cs="Arial"/>
          <w:szCs w:val="24"/>
        </w:rPr>
      </w:pPr>
    </w:p>
    <w:p w:rsidR="007A6D8E" w:rsidRPr="008001A9" w:rsidRDefault="004E5107" w:rsidP="00872B73">
      <w:pPr>
        <w:jc w:val="both"/>
        <w:rPr>
          <w:rFonts w:ascii="Arial" w:hAnsi="Arial" w:cs="Arial"/>
          <w:b/>
          <w:szCs w:val="24"/>
        </w:rPr>
      </w:pPr>
      <w:r w:rsidRPr="008001A9">
        <w:rPr>
          <w:rFonts w:ascii="Arial" w:hAnsi="Arial" w:cs="Arial"/>
          <w:b/>
          <w:szCs w:val="24"/>
        </w:rPr>
        <w:t>Event concept</w:t>
      </w:r>
    </w:p>
    <w:p w:rsidR="007D4441" w:rsidRPr="008001A9" w:rsidRDefault="007D4441" w:rsidP="00872B73">
      <w:pPr>
        <w:jc w:val="both"/>
        <w:rPr>
          <w:rFonts w:ascii="Arial" w:hAnsi="Arial" w:cs="Arial"/>
          <w:szCs w:val="24"/>
        </w:rPr>
      </w:pPr>
    </w:p>
    <w:p w:rsidR="007D4441" w:rsidRPr="008001A9" w:rsidRDefault="008A52E3" w:rsidP="00872B73">
      <w:pPr>
        <w:jc w:val="both"/>
        <w:rPr>
          <w:rFonts w:ascii="Arial" w:hAnsi="Arial" w:cs="Arial"/>
          <w:i/>
          <w:szCs w:val="24"/>
        </w:rPr>
      </w:pPr>
      <w:r>
        <w:rPr>
          <w:rFonts w:ascii="Arial" w:hAnsi="Arial" w:cs="Arial"/>
          <w:i/>
          <w:szCs w:val="24"/>
        </w:rPr>
        <w:t xml:space="preserve">Business and </w:t>
      </w:r>
      <w:r w:rsidR="007D4441" w:rsidRPr="008001A9">
        <w:rPr>
          <w:rFonts w:ascii="Arial" w:hAnsi="Arial" w:cs="Arial"/>
          <w:i/>
          <w:szCs w:val="24"/>
        </w:rPr>
        <w:t>Global Supply Chains</w:t>
      </w:r>
    </w:p>
    <w:p w:rsidR="007D4441" w:rsidRPr="008001A9" w:rsidRDefault="007D4441" w:rsidP="00872B73">
      <w:pPr>
        <w:jc w:val="both"/>
        <w:rPr>
          <w:rFonts w:ascii="Arial" w:hAnsi="Arial" w:cs="Arial"/>
          <w:szCs w:val="24"/>
        </w:rPr>
      </w:pPr>
    </w:p>
    <w:p w:rsidR="00EE67CC" w:rsidRPr="008001A9" w:rsidRDefault="007A6D8E" w:rsidP="00872B73">
      <w:pPr>
        <w:jc w:val="both"/>
        <w:rPr>
          <w:rFonts w:ascii="Arial" w:hAnsi="Arial" w:cs="Arial"/>
          <w:szCs w:val="24"/>
        </w:rPr>
      </w:pPr>
      <w:r w:rsidRPr="008001A9">
        <w:rPr>
          <w:rFonts w:ascii="Arial" w:hAnsi="Arial" w:cs="Arial"/>
          <w:szCs w:val="24"/>
        </w:rPr>
        <w:t>Globali</w:t>
      </w:r>
      <w:r w:rsidR="00F537AE">
        <w:rPr>
          <w:rFonts w:ascii="Arial" w:hAnsi="Arial" w:cs="Arial"/>
          <w:szCs w:val="24"/>
        </w:rPr>
        <w:t>s</w:t>
      </w:r>
      <w:r w:rsidRPr="008001A9">
        <w:rPr>
          <w:rFonts w:ascii="Arial" w:hAnsi="Arial" w:cs="Arial"/>
          <w:szCs w:val="24"/>
        </w:rPr>
        <w:t xml:space="preserve">ation has </w:t>
      </w:r>
      <w:r w:rsidR="00EA75F2" w:rsidRPr="008001A9">
        <w:rPr>
          <w:rFonts w:ascii="Arial" w:hAnsi="Arial" w:cs="Arial"/>
          <w:szCs w:val="24"/>
        </w:rPr>
        <w:t xml:space="preserve">radically </w:t>
      </w:r>
      <w:r w:rsidRPr="008001A9">
        <w:rPr>
          <w:rFonts w:ascii="Arial" w:hAnsi="Arial" w:cs="Arial"/>
          <w:szCs w:val="24"/>
        </w:rPr>
        <w:t>transformed the rules of trade for business</w:t>
      </w:r>
      <w:r w:rsidR="000863F4" w:rsidRPr="008001A9">
        <w:rPr>
          <w:rFonts w:ascii="Arial" w:hAnsi="Arial" w:cs="Arial"/>
          <w:szCs w:val="24"/>
        </w:rPr>
        <w:t>.</w:t>
      </w:r>
      <w:r w:rsidR="00440145" w:rsidRPr="008001A9">
        <w:rPr>
          <w:rFonts w:ascii="Arial" w:hAnsi="Arial" w:cs="Arial"/>
          <w:szCs w:val="24"/>
        </w:rPr>
        <w:t xml:space="preserve"> </w:t>
      </w:r>
      <w:r w:rsidR="000863F4" w:rsidRPr="008001A9">
        <w:rPr>
          <w:rFonts w:ascii="Arial" w:hAnsi="Arial" w:cs="Arial"/>
          <w:szCs w:val="24"/>
        </w:rPr>
        <w:t xml:space="preserve"> </w:t>
      </w:r>
      <w:r w:rsidR="00EE67CC" w:rsidRPr="008001A9">
        <w:rPr>
          <w:rFonts w:ascii="Arial" w:hAnsi="Arial" w:cs="Arial"/>
          <w:szCs w:val="24"/>
        </w:rPr>
        <w:t>Faced with rapid developments in communication technology</w:t>
      </w:r>
      <w:r w:rsidR="003F0E12" w:rsidRPr="008001A9">
        <w:rPr>
          <w:rFonts w:ascii="Arial" w:hAnsi="Arial" w:cs="Arial"/>
          <w:szCs w:val="24"/>
        </w:rPr>
        <w:t>, offshore production</w:t>
      </w:r>
      <w:r w:rsidR="00EE67CC" w:rsidRPr="008001A9">
        <w:rPr>
          <w:rFonts w:ascii="Arial" w:hAnsi="Arial" w:cs="Arial"/>
          <w:szCs w:val="24"/>
        </w:rPr>
        <w:t xml:space="preserve"> and global </w:t>
      </w:r>
      <w:r w:rsidR="00822C0F" w:rsidRPr="008001A9">
        <w:rPr>
          <w:rFonts w:ascii="Arial" w:hAnsi="Arial" w:cs="Arial"/>
          <w:szCs w:val="24"/>
        </w:rPr>
        <w:t xml:space="preserve">human and resource </w:t>
      </w:r>
      <w:r w:rsidR="003F0E12" w:rsidRPr="008001A9">
        <w:rPr>
          <w:rFonts w:ascii="Arial" w:hAnsi="Arial" w:cs="Arial"/>
          <w:szCs w:val="24"/>
        </w:rPr>
        <w:t xml:space="preserve">capital </w:t>
      </w:r>
      <w:r w:rsidR="00EA75F2" w:rsidRPr="008001A9">
        <w:rPr>
          <w:rFonts w:ascii="Arial" w:hAnsi="Arial" w:cs="Arial"/>
          <w:szCs w:val="24"/>
        </w:rPr>
        <w:t>linkages</w:t>
      </w:r>
      <w:r w:rsidR="00AF719E" w:rsidRPr="008001A9">
        <w:rPr>
          <w:rFonts w:ascii="Arial" w:hAnsi="Arial" w:cs="Arial"/>
          <w:szCs w:val="24"/>
        </w:rPr>
        <w:t xml:space="preserve"> since the early 1990s</w:t>
      </w:r>
      <w:r w:rsidR="00EE67CC" w:rsidRPr="008001A9">
        <w:rPr>
          <w:rFonts w:ascii="Arial" w:hAnsi="Arial" w:cs="Arial"/>
          <w:szCs w:val="24"/>
        </w:rPr>
        <w:t>, c</w:t>
      </w:r>
      <w:r w:rsidR="001D4576" w:rsidRPr="008001A9">
        <w:rPr>
          <w:rFonts w:ascii="Arial" w:hAnsi="Arial" w:cs="Arial"/>
          <w:szCs w:val="24"/>
        </w:rPr>
        <w:t xml:space="preserve">orporations </w:t>
      </w:r>
      <w:r w:rsidR="00EE67CC" w:rsidRPr="008001A9">
        <w:rPr>
          <w:rFonts w:ascii="Arial" w:hAnsi="Arial" w:cs="Arial"/>
          <w:szCs w:val="24"/>
        </w:rPr>
        <w:t xml:space="preserve">can no longer rely on the old certainties </w:t>
      </w:r>
      <w:r w:rsidR="00EA75F2" w:rsidRPr="008001A9">
        <w:rPr>
          <w:rFonts w:ascii="Arial" w:hAnsi="Arial" w:cs="Arial"/>
          <w:szCs w:val="24"/>
        </w:rPr>
        <w:t xml:space="preserve">of </w:t>
      </w:r>
      <w:r w:rsidR="005A3B03" w:rsidRPr="008001A9">
        <w:rPr>
          <w:rFonts w:ascii="Arial" w:hAnsi="Arial" w:cs="Arial"/>
          <w:szCs w:val="24"/>
        </w:rPr>
        <w:t>domestic operational</w:t>
      </w:r>
      <w:r w:rsidR="00EA75F2" w:rsidRPr="008001A9">
        <w:rPr>
          <w:rFonts w:ascii="Arial" w:hAnsi="Arial" w:cs="Arial"/>
          <w:szCs w:val="24"/>
        </w:rPr>
        <w:t xml:space="preserve"> and </w:t>
      </w:r>
      <w:r w:rsidR="00CC1003" w:rsidRPr="008001A9">
        <w:rPr>
          <w:rFonts w:ascii="Arial" w:hAnsi="Arial" w:cs="Arial"/>
          <w:szCs w:val="24"/>
        </w:rPr>
        <w:t>management functions</w:t>
      </w:r>
      <w:r w:rsidR="00EE67CC" w:rsidRPr="008001A9">
        <w:rPr>
          <w:rFonts w:ascii="Arial" w:hAnsi="Arial" w:cs="Arial"/>
          <w:szCs w:val="24"/>
        </w:rPr>
        <w:t xml:space="preserve">.  Multinational corporations must now </w:t>
      </w:r>
      <w:r w:rsidR="001D4576" w:rsidRPr="008001A9">
        <w:rPr>
          <w:rFonts w:ascii="Arial" w:hAnsi="Arial" w:cs="Arial"/>
          <w:szCs w:val="24"/>
        </w:rPr>
        <w:t xml:space="preserve">maintain market position in </w:t>
      </w:r>
      <w:r w:rsidR="00EA75F2" w:rsidRPr="008001A9">
        <w:rPr>
          <w:rFonts w:ascii="Arial" w:hAnsi="Arial" w:cs="Arial"/>
          <w:szCs w:val="24"/>
        </w:rPr>
        <w:t>a hyper-</w:t>
      </w:r>
      <w:r w:rsidR="001D4576" w:rsidRPr="008001A9">
        <w:rPr>
          <w:rFonts w:ascii="Arial" w:hAnsi="Arial" w:cs="Arial"/>
          <w:szCs w:val="24"/>
        </w:rPr>
        <w:t>competitive global landscape</w:t>
      </w:r>
      <w:r w:rsidR="00F537AE">
        <w:rPr>
          <w:rFonts w:ascii="Arial" w:hAnsi="Arial" w:cs="Arial"/>
          <w:szCs w:val="24"/>
        </w:rPr>
        <w:t xml:space="preserve">.  Their </w:t>
      </w:r>
      <w:r w:rsidR="00EE67CC" w:rsidRPr="008001A9">
        <w:rPr>
          <w:rFonts w:ascii="Arial" w:hAnsi="Arial" w:cs="Arial"/>
          <w:szCs w:val="24"/>
        </w:rPr>
        <w:t xml:space="preserve">efficiency and quality </w:t>
      </w:r>
      <w:r w:rsidR="00EA75F2" w:rsidRPr="008001A9">
        <w:rPr>
          <w:rFonts w:ascii="Arial" w:hAnsi="Arial" w:cs="Arial"/>
          <w:szCs w:val="24"/>
        </w:rPr>
        <w:t xml:space="preserve">targets </w:t>
      </w:r>
      <w:r w:rsidR="00F537AE">
        <w:rPr>
          <w:rFonts w:ascii="Arial" w:hAnsi="Arial" w:cs="Arial"/>
          <w:szCs w:val="24"/>
        </w:rPr>
        <w:t xml:space="preserve">are </w:t>
      </w:r>
      <w:r w:rsidR="00EE67CC" w:rsidRPr="008001A9">
        <w:rPr>
          <w:rFonts w:ascii="Arial" w:hAnsi="Arial" w:cs="Arial"/>
          <w:szCs w:val="24"/>
        </w:rPr>
        <w:t xml:space="preserve">dictated by </w:t>
      </w:r>
      <w:r w:rsidR="00F537AE">
        <w:rPr>
          <w:rFonts w:ascii="Arial" w:hAnsi="Arial" w:cs="Arial"/>
          <w:szCs w:val="24"/>
        </w:rPr>
        <w:t xml:space="preserve">an </w:t>
      </w:r>
      <w:r w:rsidR="00543BCE" w:rsidRPr="008001A9">
        <w:rPr>
          <w:rFonts w:ascii="Arial" w:hAnsi="Arial" w:cs="Arial"/>
          <w:szCs w:val="24"/>
        </w:rPr>
        <w:t xml:space="preserve">ability to optimise multiple supply </w:t>
      </w:r>
      <w:r w:rsidR="00D77E4F" w:rsidRPr="008001A9">
        <w:rPr>
          <w:rFonts w:ascii="Arial" w:hAnsi="Arial" w:cs="Arial"/>
          <w:szCs w:val="24"/>
        </w:rPr>
        <w:t>an</w:t>
      </w:r>
      <w:r w:rsidR="006B51FE" w:rsidRPr="008001A9">
        <w:rPr>
          <w:rFonts w:ascii="Arial" w:hAnsi="Arial" w:cs="Arial"/>
          <w:szCs w:val="24"/>
        </w:rPr>
        <w:t xml:space="preserve">d demand networks </w:t>
      </w:r>
      <w:r w:rsidR="00543BCE" w:rsidRPr="008001A9">
        <w:rPr>
          <w:rFonts w:ascii="Arial" w:hAnsi="Arial" w:cs="Arial"/>
          <w:szCs w:val="24"/>
        </w:rPr>
        <w:t>operating across all regions of the world.</w:t>
      </w:r>
      <w:r w:rsidR="00B66261" w:rsidRPr="008001A9">
        <w:rPr>
          <w:rFonts w:ascii="Arial" w:hAnsi="Arial" w:cs="Arial"/>
          <w:szCs w:val="24"/>
        </w:rPr>
        <w:t xml:space="preserve">  </w:t>
      </w:r>
      <w:r w:rsidR="00EA75F2" w:rsidRPr="008001A9">
        <w:rPr>
          <w:rFonts w:ascii="Arial" w:hAnsi="Arial" w:cs="Arial"/>
          <w:szCs w:val="24"/>
        </w:rPr>
        <w:t>It is no surprise then that s</w:t>
      </w:r>
      <w:r w:rsidR="00B66261" w:rsidRPr="008001A9">
        <w:rPr>
          <w:rFonts w:ascii="Arial" w:hAnsi="Arial" w:cs="Arial"/>
          <w:szCs w:val="24"/>
        </w:rPr>
        <w:t xml:space="preserve">upply chain management and the ability of corporations to enhance the efficiency, transparency and security of highly decentralised procurement </w:t>
      </w:r>
      <w:r w:rsidR="00EA75F2" w:rsidRPr="008001A9">
        <w:rPr>
          <w:rFonts w:ascii="Arial" w:hAnsi="Arial" w:cs="Arial"/>
          <w:szCs w:val="24"/>
        </w:rPr>
        <w:t xml:space="preserve">lines – often many tiers deep – goes to </w:t>
      </w:r>
      <w:r w:rsidR="00B66261" w:rsidRPr="008001A9">
        <w:rPr>
          <w:rFonts w:ascii="Arial" w:hAnsi="Arial" w:cs="Arial"/>
          <w:szCs w:val="24"/>
        </w:rPr>
        <w:t xml:space="preserve">the </w:t>
      </w:r>
      <w:r w:rsidR="005A3B03" w:rsidRPr="008001A9">
        <w:rPr>
          <w:rFonts w:ascii="Arial" w:hAnsi="Arial" w:cs="Arial"/>
          <w:szCs w:val="24"/>
        </w:rPr>
        <w:t xml:space="preserve">heart </w:t>
      </w:r>
      <w:r w:rsidR="00B66261" w:rsidRPr="008001A9">
        <w:rPr>
          <w:rFonts w:ascii="Arial" w:hAnsi="Arial" w:cs="Arial"/>
          <w:szCs w:val="24"/>
        </w:rPr>
        <w:t xml:space="preserve">of modern global business practice.  </w:t>
      </w:r>
      <w:r w:rsidR="00F537AE">
        <w:rPr>
          <w:rFonts w:ascii="Arial" w:hAnsi="Arial" w:cs="Arial"/>
          <w:szCs w:val="24"/>
        </w:rPr>
        <w:t>T</w:t>
      </w:r>
      <w:r w:rsidR="00EA75F2" w:rsidRPr="008001A9">
        <w:rPr>
          <w:rFonts w:ascii="Arial" w:hAnsi="Arial" w:cs="Arial"/>
          <w:szCs w:val="24"/>
        </w:rPr>
        <w:t xml:space="preserve">his modern </w:t>
      </w:r>
      <w:r w:rsidR="00B66261" w:rsidRPr="008001A9">
        <w:rPr>
          <w:rFonts w:ascii="Arial" w:hAnsi="Arial" w:cs="Arial"/>
          <w:szCs w:val="24"/>
        </w:rPr>
        <w:t xml:space="preserve">global footprint means that </w:t>
      </w:r>
      <w:r w:rsidR="00EA75F2" w:rsidRPr="008001A9">
        <w:rPr>
          <w:rFonts w:ascii="Arial" w:hAnsi="Arial" w:cs="Arial"/>
          <w:szCs w:val="24"/>
        </w:rPr>
        <w:t xml:space="preserve">the </w:t>
      </w:r>
      <w:r w:rsidR="00D57959" w:rsidRPr="008001A9">
        <w:rPr>
          <w:rFonts w:ascii="Arial" w:hAnsi="Arial" w:cs="Arial"/>
          <w:szCs w:val="24"/>
        </w:rPr>
        <w:t xml:space="preserve">potential </w:t>
      </w:r>
      <w:r w:rsidR="004B4E70" w:rsidRPr="008001A9">
        <w:rPr>
          <w:rFonts w:ascii="Arial" w:hAnsi="Arial" w:cs="Arial"/>
          <w:szCs w:val="24"/>
        </w:rPr>
        <w:t xml:space="preserve">impact </w:t>
      </w:r>
      <w:r w:rsidR="00EA75F2" w:rsidRPr="008001A9">
        <w:rPr>
          <w:rFonts w:ascii="Arial" w:hAnsi="Arial" w:cs="Arial"/>
          <w:szCs w:val="24"/>
        </w:rPr>
        <w:t xml:space="preserve">of corporations </w:t>
      </w:r>
      <w:r w:rsidR="004B4E70" w:rsidRPr="008001A9">
        <w:rPr>
          <w:rFonts w:ascii="Arial" w:hAnsi="Arial" w:cs="Arial"/>
          <w:szCs w:val="24"/>
        </w:rPr>
        <w:t xml:space="preserve">on </w:t>
      </w:r>
      <w:r w:rsidR="00B66261" w:rsidRPr="008001A9">
        <w:rPr>
          <w:rFonts w:ascii="Arial" w:hAnsi="Arial" w:cs="Arial"/>
          <w:szCs w:val="24"/>
        </w:rPr>
        <w:t xml:space="preserve">local economies </w:t>
      </w:r>
      <w:r w:rsidR="00D77E4F" w:rsidRPr="008001A9">
        <w:rPr>
          <w:rFonts w:ascii="Arial" w:hAnsi="Arial" w:cs="Arial"/>
          <w:szCs w:val="24"/>
        </w:rPr>
        <w:t xml:space="preserve">and </w:t>
      </w:r>
      <w:r w:rsidR="008F5BF0" w:rsidRPr="008001A9">
        <w:rPr>
          <w:rFonts w:ascii="Arial" w:hAnsi="Arial" w:cs="Arial"/>
          <w:szCs w:val="24"/>
        </w:rPr>
        <w:t xml:space="preserve">social systems </w:t>
      </w:r>
      <w:r w:rsidR="00B66261" w:rsidRPr="008001A9">
        <w:rPr>
          <w:rFonts w:ascii="Arial" w:hAnsi="Arial" w:cs="Arial"/>
          <w:szCs w:val="24"/>
        </w:rPr>
        <w:t>has never been greater.</w:t>
      </w:r>
    </w:p>
    <w:p w:rsidR="00EE67CC" w:rsidRPr="008001A9" w:rsidRDefault="00EE67CC" w:rsidP="00872B73">
      <w:pPr>
        <w:jc w:val="both"/>
        <w:rPr>
          <w:rFonts w:ascii="Arial" w:hAnsi="Arial" w:cs="Arial"/>
          <w:szCs w:val="24"/>
        </w:rPr>
      </w:pPr>
    </w:p>
    <w:p w:rsidR="005607BD" w:rsidRDefault="001E7F95" w:rsidP="00872B73">
      <w:pPr>
        <w:jc w:val="both"/>
        <w:rPr>
          <w:rFonts w:ascii="Arial" w:hAnsi="Arial" w:cs="Arial"/>
          <w:szCs w:val="24"/>
        </w:rPr>
      </w:pPr>
      <w:r w:rsidRPr="008001A9">
        <w:rPr>
          <w:rFonts w:ascii="Arial" w:hAnsi="Arial" w:cs="Arial"/>
          <w:szCs w:val="24"/>
        </w:rPr>
        <w:t xml:space="preserve">Global supply chains are now institutionalised.  </w:t>
      </w:r>
      <w:r w:rsidR="005A3B03" w:rsidRPr="008001A9">
        <w:rPr>
          <w:rFonts w:ascii="Arial" w:hAnsi="Arial" w:cs="Arial"/>
          <w:szCs w:val="24"/>
        </w:rPr>
        <w:t>G</w:t>
      </w:r>
      <w:r w:rsidRPr="008001A9">
        <w:rPr>
          <w:rFonts w:ascii="Arial" w:hAnsi="Arial" w:cs="Arial"/>
          <w:szCs w:val="24"/>
        </w:rPr>
        <w:t xml:space="preserve">rowing attention is being paid to their internal workings far beyond the level 1/tier 1 suppliers.  In some industries, such as </w:t>
      </w:r>
      <w:r w:rsidR="00643A34" w:rsidRPr="008001A9">
        <w:rPr>
          <w:rFonts w:ascii="Arial" w:hAnsi="Arial" w:cs="Arial"/>
          <w:szCs w:val="24"/>
        </w:rPr>
        <w:t xml:space="preserve">extractives, </w:t>
      </w:r>
      <w:r w:rsidR="00893611" w:rsidRPr="008001A9">
        <w:rPr>
          <w:rFonts w:ascii="Arial" w:hAnsi="Arial" w:cs="Arial"/>
          <w:szCs w:val="24"/>
        </w:rPr>
        <w:t>complex</w:t>
      </w:r>
      <w:r w:rsidR="00F2530A" w:rsidRPr="008001A9">
        <w:rPr>
          <w:rFonts w:ascii="Arial" w:hAnsi="Arial" w:cs="Arial"/>
          <w:szCs w:val="24"/>
        </w:rPr>
        <w:t xml:space="preserve"> </w:t>
      </w:r>
      <w:r w:rsidRPr="008001A9">
        <w:rPr>
          <w:rFonts w:ascii="Arial" w:hAnsi="Arial" w:cs="Arial"/>
          <w:szCs w:val="24"/>
        </w:rPr>
        <w:t>minerals and metals, supply chains may be relatively fixed and shallow, extending two or three tiers deep from the supplier</w:t>
      </w:r>
      <w:r w:rsidR="005A3B03" w:rsidRPr="008001A9">
        <w:rPr>
          <w:rFonts w:ascii="Arial" w:hAnsi="Arial" w:cs="Arial"/>
          <w:szCs w:val="24"/>
        </w:rPr>
        <w:t xml:space="preserve"> or sub-contractor</w:t>
      </w:r>
      <w:r w:rsidRPr="008001A9">
        <w:rPr>
          <w:rFonts w:ascii="Arial" w:hAnsi="Arial" w:cs="Arial"/>
          <w:szCs w:val="24"/>
        </w:rPr>
        <w:t xml:space="preserve"> to the originating buyer.  However, in other industries, such as </w:t>
      </w:r>
      <w:r w:rsidR="007A4E9D" w:rsidRPr="008001A9">
        <w:rPr>
          <w:rFonts w:ascii="Arial" w:hAnsi="Arial" w:cs="Arial"/>
          <w:szCs w:val="24"/>
        </w:rPr>
        <w:t xml:space="preserve">automobiles, </w:t>
      </w:r>
      <w:r w:rsidR="004D6BDF" w:rsidRPr="008001A9">
        <w:rPr>
          <w:rFonts w:ascii="Arial" w:hAnsi="Arial" w:cs="Arial"/>
          <w:szCs w:val="24"/>
        </w:rPr>
        <w:t xml:space="preserve">groceries, </w:t>
      </w:r>
      <w:r w:rsidRPr="008001A9">
        <w:rPr>
          <w:rFonts w:ascii="Arial" w:hAnsi="Arial" w:cs="Arial"/>
          <w:szCs w:val="24"/>
        </w:rPr>
        <w:t>electronics and apparel, supply chains can extend down many tiers, involv</w:t>
      </w:r>
      <w:r w:rsidR="00F83A8E" w:rsidRPr="008001A9">
        <w:rPr>
          <w:rFonts w:ascii="Arial" w:hAnsi="Arial" w:cs="Arial"/>
          <w:szCs w:val="24"/>
        </w:rPr>
        <w:t>ing</w:t>
      </w:r>
      <w:r w:rsidRPr="008001A9">
        <w:rPr>
          <w:rFonts w:ascii="Arial" w:hAnsi="Arial" w:cs="Arial"/>
          <w:szCs w:val="24"/>
        </w:rPr>
        <w:t xml:space="preserve"> </w:t>
      </w:r>
      <w:r w:rsidR="00F2530A" w:rsidRPr="008001A9">
        <w:rPr>
          <w:rFonts w:ascii="Arial" w:hAnsi="Arial" w:cs="Arial"/>
          <w:szCs w:val="24"/>
        </w:rPr>
        <w:t xml:space="preserve">flexible supply lines, multiple </w:t>
      </w:r>
      <w:r w:rsidRPr="008001A9">
        <w:rPr>
          <w:rFonts w:ascii="Arial" w:hAnsi="Arial" w:cs="Arial"/>
          <w:szCs w:val="24"/>
        </w:rPr>
        <w:t>sub-contractors</w:t>
      </w:r>
      <w:r w:rsidR="00F2530A" w:rsidRPr="008001A9">
        <w:rPr>
          <w:rFonts w:ascii="Arial" w:hAnsi="Arial" w:cs="Arial"/>
          <w:szCs w:val="24"/>
        </w:rPr>
        <w:t xml:space="preserve"> and </w:t>
      </w:r>
      <w:r w:rsidRPr="008001A9">
        <w:rPr>
          <w:rFonts w:ascii="Arial" w:hAnsi="Arial" w:cs="Arial"/>
          <w:szCs w:val="24"/>
        </w:rPr>
        <w:t>complex interdependencies</w:t>
      </w:r>
      <w:r w:rsidR="00F2530A" w:rsidRPr="008001A9">
        <w:rPr>
          <w:rFonts w:ascii="Arial" w:hAnsi="Arial" w:cs="Arial"/>
          <w:szCs w:val="24"/>
        </w:rPr>
        <w:t xml:space="preserve">. </w:t>
      </w:r>
      <w:r w:rsidR="00F83A8E" w:rsidRPr="008001A9">
        <w:rPr>
          <w:rFonts w:ascii="Arial" w:hAnsi="Arial" w:cs="Arial"/>
          <w:szCs w:val="24"/>
        </w:rPr>
        <w:t xml:space="preserve"> </w:t>
      </w:r>
    </w:p>
    <w:p w:rsidR="005607BD" w:rsidRDefault="005607BD" w:rsidP="00872B73">
      <w:pPr>
        <w:jc w:val="both"/>
        <w:rPr>
          <w:rFonts w:ascii="Arial" w:hAnsi="Arial" w:cs="Arial"/>
          <w:szCs w:val="24"/>
        </w:rPr>
      </w:pPr>
    </w:p>
    <w:p w:rsidR="001E7F95" w:rsidRPr="008001A9" w:rsidRDefault="00F83A8E" w:rsidP="00872B73">
      <w:pPr>
        <w:jc w:val="both"/>
        <w:rPr>
          <w:rFonts w:ascii="Arial" w:hAnsi="Arial" w:cs="Arial"/>
          <w:szCs w:val="24"/>
        </w:rPr>
      </w:pPr>
      <w:r w:rsidRPr="008001A9">
        <w:rPr>
          <w:rFonts w:ascii="Arial" w:hAnsi="Arial" w:cs="Arial"/>
          <w:szCs w:val="24"/>
        </w:rPr>
        <w:t xml:space="preserve">Corporations have rapidly evolved to meet this challenge and </w:t>
      </w:r>
      <w:r w:rsidR="005773FE" w:rsidRPr="008001A9">
        <w:rPr>
          <w:rFonts w:ascii="Arial" w:hAnsi="Arial" w:cs="Arial"/>
          <w:szCs w:val="24"/>
        </w:rPr>
        <w:t>supply chain modelling</w:t>
      </w:r>
      <w:r w:rsidR="008B75B3" w:rsidRPr="008001A9">
        <w:rPr>
          <w:rFonts w:ascii="Arial" w:hAnsi="Arial" w:cs="Arial"/>
          <w:szCs w:val="24"/>
        </w:rPr>
        <w:t xml:space="preserve"> </w:t>
      </w:r>
      <w:r w:rsidR="00636C0A" w:rsidRPr="008001A9">
        <w:rPr>
          <w:rFonts w:ascii="Arial" w:hAnsi="Arial" w:cs="Arial"/>
          <w:szCs w:val="24"/>
        </w:rPr>
        <w:t xml:space="preserve">now routinely </w:t>
      </w:r>
      <w:r w:rsidR="005773FE" w:rsidRPr="008001A9">
        <w:rPr>
          <w:rFonts w:ascii="Arial" w:hAnsi="Arial" w:cs="Arial"/>
          <w:szCs w:val="24"/>
        </w:rPr>
        <w:t>factor</w:t>
      </w:r>
      <w:r w:rsidR="005A3B03" w:rsidRPr="008001A9">
        <w:rPr>
          <w:rFonts w:ascii="Arial" w:hAnsi="Arial" w:cs="Arial"/>
          <w:szCs w:val="24"/>
        </w:rPr>
        <w:t>s</w:t>
      </w:r>
      <w:r w:rsidR="005773FE" w:rsidRPr="008001A9">
        <w:rPr>
          <w:rFonts w:ascii="Arial" w:hAnsi="Arial" w:cs="Arial"/>
          <w:szCs w:val="24"/>
        </w:rPr>
        <w:t xml:space="preserve"> in potential </w:t>
      </w:r>
      <w:r w:rsidR="005A3B03" w:rsidRPr="008001A9">
        <w:rPr>
          <w:rFonts w:ascii="Arial" w:hAnsi="Arial" w:cs="Arial"/>
          <w:szCs w:val="24"/>
        </w:rPr>
        <w:t>‘</w:t>
      </w:r>
      <w:r w:rsidR="005773FE" w:rsidRPr="008001A9">
        <w:rPr>
          <w:rFonts w:ascii="Arial" w:hAnsi="Arial" w:cs="Arial"/>
          <w:szCs w:val="24"/>
        </w:rPr>
        <w:t>black hole</w:t>
      </w:r>
      <w:r w:rsidR="005A3B03" w:rsidRPr="008001A9">
        <w:rPr>
          <w:rFonts w:ascii="Arial" w:hAnsi="Arial" w:cs="Arial"/>
          <w:szCs w:val="24"/>
        </w:rPr>
        <w:t>’</w:t>
      </w:r>
      <w:r w:rsidR="005773FE" w:rsidRPr="008001A9">
        <w:rPr>
          <w:rFonts w:ascii="Arial" w:hAnsi="Arial" w:cs="Arial"/>
          <w:szCs w:val="24"/>
        </w:rPr>
        <w:t xml:space="preserve"> </w:t>
      </w:r>
      <w:r w:rsidRPr="008001A9">
        <w:rPr>
          <w:rFonts w:ascii="Arial" w:hAnsi="Arial" w:cs="Arial"/>
          <w:szCs w:val="24"/>
        </w:rPr>
        <w:t>risk</w:t>
      </w:r>
      <w:r w:rsidR="005773FE" w:rsidRPr="008001A9">
        <w:rPr>
          <w:rFonts w:ascii="Arial" w:hAnsi="Arial" w:cs="Arial"/>
          <w:szCs w:val="24"/>
        </w:rPr>
        <w:t>s</w:t>
      </w:r>
      <w:r w:rsidRPr="008001A9">
        <w:rPr>
          <w:rFonts w:ascii="Arial" w:hAnsi="Arial" w:cs="Arial"/>
          <w:szCs w:val="24"/>
        </w:rPr>
        <w:t>, points of failure, susceptibility to natural disasters</w:t>
      </w:r>
      <w:r w:rsidR="00F2530A" w:rsidRPr="008001A9">
        <w:rPr>
          <w:rFonts w:ascii="Arial" w:hAnsi="Arial" w:cs="Arial"/>
          <w:szCs w:val="24"/>
        </w:rPr>
        <w:t>,</w:t>
      </w:r>
      <w:r w:rsidRPr="008001A9">
        <w:rPr>
          <w:rFonts w:ascii="Arial" w:hAnsi="Arial" w:cs="Arial"/>
          <w:szCs w:val="24"/>
        </w:rPr>
        <w:t xml:space="preserve"> and </w:t>
      </w:r>
      <w:r w:rsidR="009A2902" w:rsidRPr="008001A9">
        <w:rPr>
          <w:rFonts w:ascii="Arial" w:hAnsi="Arial" w:cs="Arial"/>
          <w:szCs w:val="24"/>
        </w:rPr>
        <w:t xml:space="preserve">contingency </w:t>
      </w:r>
      <w:r w:rsidR="00160C58" w:rsidRPr="008001A9">
        <w:rPr>
          <w:rFonts w:ascii="Arial" w:hAnsi="Arial" w:cs="Arial"/>
          <w:szCs w:val="24"/>
        </w:rPr>
        <w:t xml:space="preserve">options </w:t>
      </w:r>
      <w:r w:rsidR="009A2902" w:rsidRPr="008001A9">
        <w:rPr>
          <w:rFonts w:ascii="Arial" w:hAnsi="Arial" w:cs="Arial"/>
          <w:szCs w:val="24"/>
        </w:rPr>
        <w:t>in the event of supply disruption</w:t>
      </w:r>
      <w:r w:rsidR="00937515" w:rsidRPr="008001A9">
        <w:rPr>
          <w:rFonts w:ascii="Arial" w:hAnsi="Arial" w:cs="Arial"/>
          <w:szCs w:val="24"/>
        </w:rPr>
        <w:t>.</w:t>
      </w:r>
      <w:r w:rsidR="009A2902" w:rsidRPr="008001A9">
        <w:rPr>
          <w:rFonts w:ascii="Arial" w:hAnsi="Arial" w:cs="Arial"/>
          <w:szCs w:val="24"/>
        </w:rPr>
        <w:t xml:space="preserve"> </w:t>
      </w:r>
      <w:r w:rsidR="00937515" w:rsidRPr="008001A9">
        <w:rPr>
          <w:rFonts w:ascii="Arial" w:hAnsi="Arial" w:cs="Arial"/>
          <w:szCs w:val="24"/>
        </w:rPr>
        <w:t xml:space="preserve"> </w:t>
      </w:r>
      <w:r w:rsidR="00937515" w:rsidRPr="008001A9">
        <w:rPr>
          <w:rFonts w:ascii="Arial" w:hAnsi="Arial" w:cs="Arial"/>
          <w:szCs w:val="24"/>
        </w:rPr>
        <w:lastRenderedPageBreak/>
        <w:t>F</w:t>
      </w:r>
      <w:r w:rsidR="009A2902" w:rsidRPr="008001A9">
        <w:rPr>
          <w:rFonts w:ascii="Arial" w:hAnsi="Arial" w:cs="Arial"/>
          <w:szCs w:val="24"/>
        </w:rPr>
        <w:t>ormalised in a set of structures</w:t>
      </w:r>
      <w:r w:rsidR="00937515" w:rsidRPr="008001A9">
        <w:rPr>
          <w:rFonts w:ascii="Arial" w:hAnsi="Arial" w:cs="Arial"/>
          <w:szCs w:val="24"/>
        </w:rPr>
        <w:t xml:space="preserve">, supply chain </w:t>
      </w:r>
      <w:r w:rsidR="00F62DF0" w:rsidRPr="008001A9">
        <w:rPr>
          <w:rFonts w:ascii="Arial" w:hAnsi="Arial" w:cs="Arial"/>
          <w:szCs w:val="24"/>
        </w:rPr>
        <w:t xml:space="preserve">strategic </w:t>
      </w:r>
      <w:r w:rsidR="00937515" w:rsidRPr="008001A9">
        <w:rPr>
          <w:rFonts w:ascii="Arial" w:hAnsi="Arial" w:cs="Arial"/>
          <w:szCs w:val="24"/>
        </w:rPr>
        <w:t>resilience,</w:t>
      </w:r>
      <w:r w:rsidR="009A2902" w:rsidRPr="008001A9">
        <w:rPr>
          <w:rFonts w:ascii="Arial" w:hAnsi="Arial" w:cs="Arial"/>
          <w:szCs w:val="24"/>
        </w:rPr>
        <w:t xml:space="preserve"> </w:t>
      </w:r>
      <w:r w:rsidR="0097522D" w:rsidRPr="008001A9">
        <w:rPr>
          <w:rFonts w:ascii="Arial" w:hAnsi="Arial" w:cs="Arial"/>
          <w:szCs w:val="24"/>
        </w:rPr>
        <w:t>while changing</w:t>
      </w:r>
      <w:r w:rsidR="009A2902" w:rsidRPr="008001A9">
        <w:rPr>
          <w:rFonts w:ascii="Arial" w:hAnsi="Arial" w:cs="Arial"/>
          <w:szCs w:val="24"/>
        </w:rPr>
        <w:t xml:space="preserve"> at the margins</w:t>
      </w:r>
      <w:r w:rsidR="0097522D" w:rsidRPr="008001A9">
        <w:rPr>
          <w:rFonts w:ascii="Arial" w:hAnsi="Arial" w:cs="Arial"/>
          <w:szCs w:val="24"/>
        </w:rPr>
        <w:t xml:space="preserve">, </w:t>
      </w:r>
      <w:r w:rsidR="00F62DF0" w:rsidRPr="008001A9">
        <w:rPr>
          <w:rFonts w:ascii="Arial" w:hAnsi="Arial" w:cs="Arial"/>
          <w:szCs w:val="24"/>
        </w:rPr>
        <w:t xml:space="preserve">is now </w:t>
      </w:r>
      <w:r w:rsidR="009A2902" w:rsidRPr="008001A9">
        <w:rPr>
          <w:rFonts w:ascii="Arial" w:hAnsi="Arial" w:cs="Arial"/>
          <w:szCs w:val="24"/>
        </w:rPr>
        <w:t xml:space="preserve">fundamentally established </w:t>
      </w:r>
      <w:r w:rsidR="00D35AD5" w:rsidRPr="008001A9">
        <w:rPr>
          <w:rFonts w:ascii="Arial" w:hAnsi="Arial" w:cs="Arial"/>
          <w:szCs w:val="24"/>
        </w:rPr>
        <w:t xml:space="preserve">in </w:t>
      </w:r>
      <w:r w:rsidR="009A2902" w:rsidRPr="008001A9">
        <w:rPr>
          <w:rFonts w:ascii="Arial" w:hAnsi="Arial" w:cs="Arial"/>
          <w:szCs w:val="24"/>
        </w:rPr>
        <w:t xml:space="preserve">practice.  Management </w:t>
      </w:r>
      <w:r w:rsidR="00F62DF0" w:rsidRPr="008001A9">
        <w:rPr>
          <w:rFonts w:ascii="Arial" w:hAnsi="Arial" w:cs="Arial"/>
          <w:szCs w:val="24"/>
        </w:rPr>
        <w:t xml:space="preserve">has become </w:t>
      </w:r>
      <w:proofErr w:type="gramStart"/>
      <w:r w:rsidR="009A2902" w:rsidRPr="008001A9">
        <w:rPr>
          <w:rFonts w:ascii="Arial" w:hAnsi="Arial" w:cs="Arial"/>
          <w:szCs w:val="24"/>
        </w:rPr>
        <w:t>key</w:t>
      </w:r>
      <w:proofErr w:type="gramEnd"/>
      <w:r w:rsidR="009A2902" w:rsidRPr="008001A9">
        <w:rPr>
          <w:rFonts w:ascii="Arial" w:hAnsi="Arial" w:cs="Arial"/>
          <w:szCs w:val="24"/>
        </w:rPr>
        <w:t>.  Across all sectors, complex supply chains are here to stay.</w:t>
      </w:r>
    </w:p>
    <w:p w:rsidR="007D4441" w:rsidRPr="008001A9" w:rsidRDefault="007D4441" w:rsidP="00872B73">
      <w:pPr>
        <w:jc w:val="both"/>
        <w:rPr>
          <w:rFonts w:ascii="Arial" w:hAnsi="Arial" w:cs="Arial"/>
          <w:szCs w:val="24"/>
        </w:rPr>
      </w:pPr>
    </w:p>
    <w:p w:rsidR="00A95B04" w:rsidRPr="008001A9" w:rsidRDefault="00276907" w:rsidP="00872B73">
      <w:pPr>
        <w:jc w:val="both"/>
        <w:rPr>
          <w:rFonts w:ascii="Arial" w:hAnsi="Arial" w:cs="Arial"/>
          <w:szCs w:val="24"/>
        </w:rPr>
      </w:pPr>
      <w:r w:rsidRPr="008001A9">
        <w:rPr>
          <w:rFonts w:ascii="Arial" w:hAnsi="Arial" w:cs="Arial"/>
          <w:szCs w:val="24"/>
        </w:rPr>
        <w:t xml:space="preserve">These developments in transnational private business practice raise a host of questions </w:t>
      </w:r>
      <w:r w:rsidR="005A3B03" w:rsidRPr="008001A9">
        <w:rPr>
          <w:rFonts w:ascii="Arial" w:hAnsi="Arial" w:cs="Arial"/>
          <w:szCs w:val="24"/>
        </w:rPr>
        <w:t xml:space="preserve">around </w:t>
      </w:r>
      <w:r w:rsidR="004F304B" w:rsidRPr="008001A9">
        <w:rPr>
          <w:rFonts w:ascii="Arial" w:hAnsi="Arial" w:cs="Arial"/>
          <w:szCs w:val="24"/>
        </w:rPr>
        <w:t xml:space="preserve">global </w:t>
      </w:r>
      <w:r w:rsidR="00D73442" w:rsidRPr="008001A9">
        <w:rPr>
          <w:rFonts w:ascii="Arial" w:hAnsi="Arial" w:cs="Arial"/>
          <w:szCs w:val="24"/>
        </w:rPr>
        <w:t xml:space="preserve">regulatory </w:t>
      </w:r>
      <w:r w:rsidRPr="008001A9">
        <w:rPr>
          <w:rFonts w:ascii="Arial" w:hAnsi="Arial" w:cs="Arial"/>
          <w:szCs w:val="24"/>
        </w:rPr>
        <w:t xml:space="preserve">governance.  </w:t>
      </w:r>
      <w:r w:rsidR="00D53EDF" w:rsidRPr="008001A9">
        <w:rPr>
          <w:rFonts w:ascii="Arial" w:hAnsi="Arial" w:cs="Arial"/>
          <w:szCs w:val="24"/>
        </w:rPr>
        <w:t>First</w:t>
      </w:r>
      <w:r w:rsidR="00D73442" w:rsidRPr="008001A9">
        <w:rPr>
          <w:rFonts w:ascii="Arial" w:hAnsi="Arial" w:cs="Arial"/>
          <w:szCs w:val="24"/>
        </w:rPr>
        <w:t>, questions of goa</w:t>
      </w:r>
      <w:r w:rsidR="005A3B03" w:rsidRPr="008001A9">
        <w:rPr>
          <w:rFonts w:ascii="Arial" w:hAnsi="Arial" w:cs="Arial"/>
          <w:szCs w:val="24"/>
        </w:rPr>
        <w:t>l-</w:t>
      </w:r>
      <w:r w:rsidR="00D73442" w:rsidRPr="008001A9">
        <w:rPr>
          <w:rFonts w:ascii="Arial" w:hAnsi="Arial" w:cs="Arial"/>
          <w:szCs w:val="24"/>
        </w:rPr>
        <w:t xml:space="preserve">setting </w:t>
      </w:r>
      <w:r w:rsidR="00BC0320" w:rsidRPr="008001A9">
        <w:rPr>
          <w:rFonts w:ascii="Arial" w:hAnsi="Arial" w:cs="Arial"/>
          <w:szCs w:val="24"/>
        </w:rPr>
        <w:t xml:space="preserve">or </w:t>
      </w:r>
      <w:r w:rsidR="00E37EF9" w:rsidRPr="008001A9">
        <w:rPr>
          <w:rFonts w:ascii="Arial" w:hAnsi="Arial" w:cs="Arial"/>
          <w:szCs w:val="24"/>
        </w:rPr>
        <w:t xml:space="preserve">outcomes </w:t>
      </w:r>
      <w:r w:rsidR="00D73442" w:rsidRPr="008001A9">
        <w:rPr>
          <w:rFonts w:ascii="Arial" w:hAnsi="Arial" w:cs="Arial"/>
          <w:szCs w:val="24"/>
        </w:rPr>
        <w:t xml:space="preserve">arise.  Managing global supply chains has </w:t>
      </w:r>
      <w:r w:rsidR="005A3B03" w:rsidRPr="008001A9">
        <w:rPr>
          <w:rFonts w:ascii="Arial" w:hAnsi="Arial" w:cs="Arial"/>
          <w:szCs w:val="24"/>
        </w:rPr>
        <w:t xml:space="preserve">been </w:t>
      </w:r>
      <w:r w:rsidR="00D73442" w:rsidRPr="008001A9">
        <w:rPr>
          <w:rFonts w:ascii="Arial" w:hAnsi="Arial" w:cs="Arial"/>
          <w:szCs w:val="24"/>
        </w:rPr>
        <w:t xml:space="preserve">conventionally approached as a question of managing risk (how to limit the negative externalities of decentralized action).  However, it may also be framed in terms </w:t>
      </w:r>
      <w:r w:rsidR="00BC0320" w:rsidRPr="008001A9">
        <w:rPr>
          <w:rFonts w:ascii="Arial" w:hAnsi="Arial" w:cs="Arial"/>
          <w:szCs w:val="24"/>
        </w:rPr>
        <w:t xml:space="preserve">of </w:t>
      </w:r>
      <w:r w:rsidR="00D73442" w:rsidRPr="008001A9">
        <w:rPr>
          <w:rFonts w:ascii="Arial" w:hAnsi="Arial" w:cs="Arial"/>
          <w:szCs w:val="24"/>
        </w:rPr>
        <w:t>ensuring long-term business sustainability</w:t>
      </w:r>
      <w:r w:rsidR="00BC0320" w:rsidRPr="008001A9">
        <w:rPr>
          <w:rFonts w:ascii="Arial" w:hAnsi="Arial" w:cs="Arial"/>
          <w:szCs w:val="24"/>
        </w:rPr>
        <w:t xml:space="preserve"> (providing</w:t>
      </w:r>
      <w:r w:rsidR="00D306F3" w:rsidRPr="008001A9">
        <w:rPr>
          <w:rFonts w:ascii="Arial" w:hAnsi="Arial" w:cs="Arial"/>
          <w:szCs w:val="24"/>
        </w:rPr>
        <w:t xml:space="preserve"> guarantees </w:t>
      </w:r>
      <w:r w:rsidR="00BC0320" w:rsidRPr="008001A9">
        <w:rPr>
          <w:rFonts w:ascii="Arial" w:hAnsi="Arial" w:cs="Arial"/>
          <w:szCs w:val="24"/>
        </w:rPr>
        <w:t xml:space="preserve">to ensure </w:t>
      </w:r>
      <w:r w:rsidR="00323C2E" w:rsidRPr="008001A9">
        <w:rPr>
          <w:rFonts w:ascii="Arial" w:hAnsi="Arial" w:cs="Arial"/>
          <w:szCs w:val="24"/>
        </w:rPr>
        <w:t>individuals</w:t>
      </w:r>
      <w:r w:rsidR="00BC0320" w:rsidRPr="008001A9">
        <w:rPr>
          <w:rFonts w:ascii="Arial" w:hAnsi="Arial" w:cs="Arial"/>
          <w:szCs w:val="24"/>
        </w:rPr>
        <w:t xml:space="preserve"> can optimise their capabilities to productive ends)</w:t>
      </w:r>
      <w:r w:rsidR="00D73442" w:rsidRPr="008001A9">
        <w:rPr>
          <w:rFonts w:ascii="Arial" w:hAnsi="Arial" w:cs="Arial"/>
          <w:szCs w:val="24"/>
        </w:rPr>
        <w:t xml:space="preserve">.  </w:t>
      </w:r>
      <w:r w:rsidR="00F537AE">
        <w:rPr>
          <w:rFonts w:ascii="Arial" w:hAnsi="Arial" w:cs="Arial"/>
          <w:szCs w:val="24"/>
        </w:rPr>
        <w:t xml:space="preserve">There are also issues surrounding </w:t>
      </w:r>
      <w:r w:rsidR="00B55763" w:rsidRPr="008001A9">
        <w:rPr>
          <w:rFonts w:ascii="Arial" w:hAnsi="Arial" w:cs="Arial"/>
          <w:szCs w:val="24"/>
        </w:rPr>
        <w:t xml:space="preserve">procedures </w:t>
      </w:r>
      <w:r w:rsidR="00B47C2C" w:rsidRPr="008001A9">
        <w:rPr>
          <w:rFonts w:ascii="Arial" w:hAnsi="Arial" w:cs="Arial"/>
          <w:szCs w:val="24"/>
        </w:rPr>
        <w:t xml:space="preserve">and how to </w:t>
      </w:r>
      <w:r w:rsidR="00B55763" w:rsidRPr="008001A9">
        <w:rPr>
          <w:rFonts w:ascii="Arial" w:hAnsi="Arial" w:cs="Arial"/>
          <w:szCs w:val="24"/>
        </w:rPr>
        <w:t xml:space="preserve">best deliver on </w:t>
      </w:r>
      <w:r w:rsidR="00B47C2C" w:rsidRPr="008001A9">
        <w:rPr>
          <w:rFonts w:ascii="Arial" w:hAnsi="Arial" w:cs="Arial"/>
          <w:szCs w:val="24"/>
        </w:rPr>
        <w:t>established goals</w:t>
      </w:r>
      <w:r w:rsidR="00B55763" w:rsidRPr="008001A9">
        <w:rPr>
          <w:rFonts w:ascii="Arial" w:hAnsi="Arial" w:cs="Arial"/>
          <w:szCs w:val="24"/>
        </w:rPr>
        <w:t xml:space="preserve">.  </w:t>
      </w:r>
      <w:r w:rsidR="00451ECF" w:rsidRPr="008001A9">
        <w:rPr>
          <w:rFonts w:ascii="Arial" w:hAnsi="Arial" w:cs="Arial"/>
          <w:szCs w:val="24"/>
        </w:rPr>
        <w:t xml:space="preserve">Supply chain governance </w:t>
      </w:r>
      <w:r w:rsidR="00281FEE" w:rsidRPr="008001A9">
        <w:rPr>
          <w:rFonts w:ascii="Arial" w:hAnsi="Arial" w:cs="Arial"/>
          <w:szCs w:val="24"/>
        </w:rPr>
        <w:t xml:space="preserve">reform advocates are vocal </w:t>
      </w:r>
      <w:r w:rsidR="005A3B03" w:rsidRPr="008001A9">
        <w:rPr>
          <w:rFonts w:ascii="Arial" w:hAnsi="Arial" w:cs="Arial"/>
          <w:szCs w:val="24"/>
        </w:rPr>
        <w:t xml:space="preserve">about </w:t>
      </w:r>
      <w:r w:rsidR="00281FEE" w:rsidRPr="008001A9">
        <w:rPr>
          <w:rFonts w:ascii="Arial" w:hAnsi="Arial" w:cs="Arial"/>
          <w:szCs w:val="24"/>
        </w:rPr>
        <w:t>strengthen</w:t>
      </w:r>
      <w:r w:rsidR="003F68D1" w:rsidRPr="008001A9">
        <w:rPr>
          <w:rFonts w:ascii="Arial" w:hAnsi="Arial" w:cs="Arial"/>
          <w:szCs w:val="24"/>
        </w:rPr>
        <w:t>ing</w:t>
      </w:r>
      <w:r w:rsidR="00281FEE" w:rsidRPr="008001A9">
        <w:rPr>
          <w:rFonts w:ascii="Arial" w:hAnsi="Arial" w:cs="Arial"/>
          <w:szCs w:val="24"/>
        </w:rPr>
        <w:t xml:space="preserve"> accountability </w:t>
      </w:r>
      <w:r w:rsidR="002B0A31" w:rsidRPr="008001A9">
        <w:rPr>
          <w:rFonts w:ascii="Arial" w:hAnsi="Arial" w:cs="Arial"/>
          <w:szCs w:val="24"/>
        </w:rPr>
        <w:t>mechanisms</w:t>
      </w:r>
      <w:r w:rsidR="001B04A0" w:rsidRPr="008001A9">
        <w:rPr>
          <w:rFonts w:ascii="Arial" w:hAnsi="Arial" w:cs="Arial"/>
          <w:szCs w:val="24"/>
        </w:rPr>
        <w:t xml:space="preserve"> based on voluntary codes of conduct</w:t>
      </w:r>
      <w:r w:rsidR="00281FEE" w:rsidRPr="008001A9">
        <w:rPr>
          <w:rFonts w:ascii="Arial" w:hAnsi="Arial" w:cs="Arial"/>
          <w:szCs w:val="24"/>
        </w:rPr>
        <w:t>, with particular emphasis on transparency and monitoring as a means to not only reduce risk</w:t>
      </w:r>
      <w:r w:rsidR="007B0B56" w:rsidRPr="008001A9">
        <w:rPr>
          <w:rFonts w:ascii="Arial" w:hAnsi="Arial" w:cs="Arial"/>
          <w:szCs w:val="24"/>
        </w:rPr>
        <w:t>,</w:t>
      </w:r>
      <w:r w:rsidR="00281FEE" w:rsidRPr="008001A9">
        <w:rPr>
          <w:rFonts w:ascii="Arial" w:hAnsi="Arial" w:cs="Arial"/>
          <w:szCs w:val="24"/>
        </w:rPr>
        <w:t xml:space="preserve"> but also </w:t>
      </w:r>
      <w:r w:rsidR="003145B1" w:rsidRPr="008001A9">
        <w:rPr>
          <w:rFonts w:ascii="Arial" w:hAnsi="Arial" w:cs="Arial"/>
          <w:szCs w:val="24"/>
        </w:rPr>
        <w:t xml:space="preserve">reap </w:t>
      </w:r>
      <w:r w:rsidR="00281FEE" w:rsidRPr="008001A9">
        <w:rPr>
          <w:rFonts w:ascii="Arial" w:hAnsi="Arial" w:cs="Arial"/>
          <w:szCs w:val="24"/>
        </w:rPr>
        <w:t xml:space="preserve">reputational dividends for the corporations involved, and enhance supply chain performance.  </w:t>
      </w:r>
    </w:p>
    <w:p w:rsidR="00D53EDF" w:rsidRPr="008001A9" w:rsidRDefault="00D53EDF" w:rsidP="00872B73">
      <w:pPr>
        <w:jc w:val="both"/>
        <w:rPr>
          <w:rFonts w:ascii="Arial" w:hAnsi="Arial" w:cs="Arial"/>
          <w:szCs w:val="24"/>
        </w:rPr>
      </w:pPr>
    </w:p>
    <w:p w:rsidR="0065467B" w:rsidRPr="008001A9" w:rsidRDefault="00237484" w:rsidP="00872B73">
      <w:pPr>
        <w:jc w:val="both"/>
        <w:rPr>
          <w:rFonts w:ascii="Arial" w:hAnsi="Arial" w:cs="Arial"/>
          <w:i/>
          <w:szCs w:val="24"/>
        </w:rPr>
      </w:pPr>
      <w:r w:rsidRPr="008001A9">
        <w:rPr>
          <w:rFonts w:ascii="Arial" w:hAnsi="Arial" w:cs="Arial"/>
          <w:i/>
          <w:szCs w:val="24"/>
        </w:rPr>
        <w:t>A Focus on Wages</w:t>
      </w:r>
    </w:p>
    <w:p w:rsidR="0065467B" w:rsidRPr="008001A9" w:rsidRDefault="0065467B" w:rsidP="00872B73">
      <w:pPr>
        <w:jc w:val="both"/>
        <w:rPr>
          <w:rFonts w:ascii="Arial" w:hAnsi="Arial" w:cs="Arial"/>
          <w:szCs w:val="24"/>
        </w:rPr>
      </w:pPr>
    </w:p>
    <w:p w:rsidR="005607BD" w:rsidRDefault="00C12654" w:rsidP="00872B73">
      <w:pPr>
        <w:jc w:val="both"/>
        <w:rPr>
          <w:rFonts w:ascii="Arial" w:hAnsi="Arial" w:cs="Arial"/>
          <w:szCs w:val="24"/>
        </w:rPr>
      </w:pPr>
      <w:r w:rsidRPr="008001A9">
        <w:rPr>
          <w:rFonts w:ascii="Arial" w:hAnsi="Arial" w:cs="Arial"/>
          <w:szCs w:val="24"/>
        </w:rPr>
        <w:t xml:space="preserve">A </w:t>
      </w:r>
      <w:r w:rsidR="001D5DB5" w:rsidRPr="008001A9">
        <w:rPr>
          <w:rFonts w:ascii="Arial" w:hAnsi="Arial" w:cs="Arial"/>
          <w:szCs w:val="24"/>
        </w:rPr>
        <w:t xml:space="preserve">relatively </w:t>
      </w:r>
      <w:r w:rsidRPr="008001A9">
        <w:rPr>
          <w:rFonts w:ascii="Arial" w:hAnsi="Arial" w:cs="Arial"/>
          <w:szCs w:val="24"/>
        </w:rPr>
        <w:t>new issue-area, t</w:t>
      </w:r>
      <w:r w:rsidR="00874638" w:rsidRPr="008001A9">
        <w:rPr>
          <w:rFonts w:ascii="Arial" w:hAnsi="Arial" w:cs="Arial"/>
          <w:szCs w:val="24"/>
        </w:rPr>
        <w:t xml:space="preserve">he </w:t>
      </w:r>
      <w:r w:rsidR="00EE28F6" w:rsidRPr="008001A9">
        <w:rPr>
          <w:rFonts w:ascii="Arial" w:hAnsi="Arial" w:cs="Arial"/>
          <w:szCs w:val="24"/>
        </w:rPr>
        <w:t xml:space="preserve">campaign </w:t>
      </w:r>
      <w:r w:rsidR="00874638" w:rsidRPr="008001A9">
        <w:rPr>
          <w:rFonts w:ascii="Arial" w:hAnsi="Arial" w:cs="Arial"/>
          <w:szCs w:val="24"/>
        </w:rPr>
        <w:t>to embed a living wage into global supply chains</w:t>
      </w:r>
      <w:r w:rsidR="00F537AE">
        <w:rPr>
          <w:rFonts w:ascii="Arial" w:hAnsi="Arial" w:cs="Arial"/>
          <w:szCs w:val="24"/>
        </w:rPr>
        <w:t>,</w:t>
      </w:r>
      <w:r w:rsidR="00874638" w:rsidRPr="008001A9">
        <w:rPr>
          <w:rFonts w:ascii="Arial" w:hAnsi="Arial" w:cs="Arial"/>
          <w:szCs w:val="24"/>
        </w:rPr>
        <w:t xml:space="preserve"> provides </w:t>
      </w:r>
      <w:r w:rsidR="00EE28F6" w:rsidRPr="008001A9">
        <w:rPr>
          <w:rFonts w:ascii="Arial" w:hAnsi="Arial" w:cs="Arial"/>
          <w:szCs w:val="24"/>
        </w:rPr>
        <w:t xml:space="preserve">a powerful example of </w:t>
      </w:r>
      <w:r w:rsidR="007A09DD" w:rsidRPr="008001A9">
        <w:rPr>
          <w:rFonts w:ascii="Arial" w:hAnsi="Arial" w:cs="Arial"/>
          <w:szCs w:val="24"/>
        </w:rPr>
        <w:t xml:space="preserve">the </w:t>
      </w:r>
      <w:r w:rsidR="005A3B03" w:rsidRPr="008001A9">
        <w:rPr>
          <w:rFonts w:ascii="Arial" w:hAnsi="Arial" w:cs="Arial"/>
          <w:szCs w:val="24"/>
        </w:rPr>
        <w:t xml:space="preserve">interplay </w:t>
      </w:r>
      <w:r w:rsidR="007A09DD" w:rsidRPr="008001A9">
        <w:rPr>
          <w:rFonts w:ascii="Arial" w:hAnsi="Arial" w:cs="Arial"/>
          <w:szCs w:val="24"/>
        </w:rPr>
        <w:t xml:space="preserve">of </w:t>
      </w:r>
      <w:r w:rsidR="005A3B03" w:rsidRPr="008001A9">
        <w:rPr>
          <w:rFonts w:ascii="Arial" w:hAnsi="Arial" w:cs="Arial"/>
          <w:szCs w:val="24"/>
        </w:rPr>
        <w:t xml:space="preserve">ethical and business-led transformation within this principally private </w:t>
      </w:r>
      <w:r w:rsidR="007A09DD" w:rsidRPr="008001A9">
        <w:rPr>
          <w:rFonts w:ascii="Arial" w:hAnsi="Arial" w:cs="Arial"/>
          <w:szCs w:val="24"/>
        </w:rPr>
        <w:t xml:space="preserve">governance </w:t>
      </w:r>
      <w:r w:rsidR="005A3B03" w:rsidRPr="008001A9">
        <w:rPr>
          <w:rFonts w:ascii="Arial" w:hAnsi="Arial" w:cs="Arial"/>
          <w:szCs w:val="24"/>
        </w:rPr>
        <w:t>domain</w:t>
      </w:r>
      <w:r w:rsidR="00EE28F6" w:rsidRPr="008001A9">
        <w:rPr>
          <w:rFonts w:ascii="Arial" w:hAnsi="Arial" w:cs="Arial"/>
          <w:szCs w:val="24"/>
        </w:rPr>
        <w:t xml:space="preserve">.  </w:t>
      </w:r>
      <w:r w:rsidR="00B87B47" w:rsidRPr="008001A9">
        <w:rPr>
          <w:rFonts w:ascii="Arial" w:hAnsi="Arial" w:cs="Arial"/>
          <w:szCs w:val="24"/>
        </w:rPr>
        <w:t>Underpinned by voluntary standards such as the Et</w:t>
      </w:r>
      <w:r w:rsidR="00746A64" w:rsidRPr="008001A9">
        <w:rPr>
          <w:rFonts w:ascii="Arial" w:hAnsi="Arial" w:cs="Arial"/>
          <w:szCs w:val="24"/>
        </w:rPr>
        <w:t xml:space="preserve">hical Trading Initiative (ETI) </w:t>
      </w:r>
      <w:r w:rsidR="00B87B47" w:rsidRPr="008001A9">
        <w:rPr>
          <w:rFonts w:ascii="Arial" w:hAnsi="Arial" w:cs="Arial"/>
          <w:szCs w:val="24"/>
        </w:rPr>
        <w:t>and the SA8000 standard, a diverse range of actors</w:t>
      </w:r>
      <w:r w:rsidR="005A3B03" w:rsidRPr="008001A9">
        <w:rPr>
          <w:rFonts w:ascii="Arial" w:hAnsi="Arial" w:cs="Arial"/>
          <w:szCs w:val="24"/>
        </w:rPr>
        <w:t>,</w:t>
      </w:r>
      <w:r w:rsidR="00B87B47" w:rsidRPr="008001A9">
        <w:rPr>
          <w:rFonts w:ascii="Arial" w:hAnsi="Arial" w:cs="Arial"/>
          <w:szCs w:val="24"/>
        </w:rPr>
        <w:t xml:space="preserve"> from business, to union</w:t>
      </w:r>
      <w:r w:rsidR="00FF6713" w:rsidRPr="008001A9">
        <w:rPr>
          <w:rFonts w:ascii="Arial" w:hAnsi="Arial" w:cs="Arial"/>
          <w:szCs w:val="24"/>
        </w:rPr>
        <w:t>s</w:t>
      </w:r>
      <w:r w:rsidR="00B87B47" w:rsidRPr="008001A9">
        <w:rPr>
          <w:rFonts w:ascii="Arial" w:hAnsi="Arial" w:cs="Arial"/>
          <w:szCs w:val="24"/>
        </w:rPr>
        <w:t xml:space="preserve">, governments, and </w:t>
      </w:r>
      <w:r w:rsidR="00C034E6" w:rsidRPr="008001A9">
        <w:rPr>
          <w:rFonts w:ascii="Arial" w:hAnsi="Arial" w:cs="Arial"/>
          <w:szCs w:val="24"/>
        </w:rPr>
        <w:t>a range of CSOs</w:t>
      </w:r>
      <w:r w:rsidR="005A3B03" w:rsidRPr="008001A9">
        <w:rPr>
          <w:rFonts w:ascii="Arial" w:hAnsi="Arial" w:cs="Arial"/>
          <w:szCs w:val="24"/>
        </w:rPr>
        <w:t>,</w:t>
      </w:r>
      <w:r w:rsidR="00C034E6" w:rsidRPr="008001A9">
        <w:rPr>
          <w:rFonts w:ascii="Arial" w:hAnsi="Arial" w:cs="Arial"/>
          <w:szCs w:val="24"/>
        </w:rPr>
        <w:t xml:space="preserve"> </w:t>
      </w:r>
      <w:r w:rsidR="00B87B47" w:rsidRPr="008001A9">
        <w:rPr>
          <w:rFonts w:ascii="Arial" w:hAnsi="Arial" w:cs="Arial"/>
          <w:szCs w:val="24"/>
        </w:rPr>
        <w:t xml:space="preserve">are now engaged in debating </w:t>
      </w:r>
      <w:r w:rsidR="00077162" w:rsidRPr="008001A9">
        <w:rPr>
          <w:rFonts w:ascii="Arial" w:hAnsi="Arial" w:cs="Arial"/>
          <w:szCs w:val="24"/>
        </w:rPr>
        <w:t xml:space="preserve">the </w:t>
      </w:r>
      <w:r w:rsidR="005A3B03" w:rsidRPr="008001A9">
        <w:rPr>
          <w:rFonts w:ascii="Arial" w:hAnsi="Arial" w:cs="Arial"/>
          <w:szCs w:val="24"/>
        </w:rPr>
        <w:t xml:space="preserve">legitimate </w:t>
      </w:r>
      <w:r w:rsidR="00077162" w:rsidRPr="008001A9">
        <w:rPr>
          <w:rFonts w:ascii="Arial" w:hAnsi="Arial" w:cs="Arial"/>
          <w:szCs w:val="24"/>
        </w:rPr>
        <w:t xml:space="preserve">scope and depth of a living wage </w:t>
      </w:r>
      <w:r w:rsidR="00900387" w:rsidRPr="008001A9">
        <w:rPr>
          <w:rFonts w:ascii="Arial" w:hAnsi="Arial" w:cs="Arial"/>
          <w:szCs w:val="24"/>
        </w:rPr>
        <w:t xml:space="preserve">(as opposed to minimum wage) </w:t>
      </w:r>
      <w:r w:rsidR="00077162" w:rsidRPr="008001A9">
        <w:rPr>
          <w:rFonts w:ascii="Arial" w:hAnsi="Arial" w:cs="Arial"/>
          <w:szCs w:val="24"/>
        </w:rPr>
        <w:t>commitment and</w:t>
      </w:r>
      <w:r w:rsidR="005A3B03" w:rsidRPr="008001A9">
        <w:rPr>
          <w:rFonts w:ascii="Arial" w:hAnsi="Arial" w:cs="Arial"/>
          <w:szCs w:val="24"/>
        </w:rPr>
        <w:t>,</w:t>
      </w:r>
      <w:r w:rsidR="00077162" w:rsidRPr="008001A9">
        <w:rPr>
          <w:rFonts w:ascii="Arial" w:hAnsi="Arial" w:cs="Arial"/>
          <w:szCs w:val="24"/>
        </w:rPr>
        <w:t xml:space="preserve"> </w:t>
      </w:r>
      <w:r w:rsidR="00FF6713" w:rsidRPr="008001A9">
        <w:rPr>
          <w:rFonts w:ascii="Arial" w:hAnsi="Arial" w:cs="Arial"/>
          <w:szCs w:val="24"/>
        </w:rPr>
        <w:t>by extension</w:t>
      </w:r>
      <w:r w:rsidR="005A3B03" w:rsidRPr="008001A9">
        <w:rPr>
          <w:rFonts w:ascii="Arial" w:hAnsi="Arial" w:cs="Arial"/>
          <w:szCs w:val="24"/>
        </w:rPr>
        <w:t>,</w:t>
      </w:r>
      <w:r w:rsidR="00FF6713" w:rsidRPr="008001A9">
        <w:rPr>
          <w:rFonts w:ascii="Arial" w:hAnsi="Arial" w:cs="Arial"/>
          <w:szCs w:val="24"/>
        </w:rPr>
        <w:t xml:space="preserve"> </w:t>
      </w:r>
      <w:r w:rsidR="005A3B03" w:rsidRPr="008001A9">
        <w:rPr>
          <w:rFonts w:ascii="Arial" w:hAnsi="Arial" w:cs="Arial"/>
          <w:szCs w:val="24"/>
        </w:rPr>
        <w:t xml:space="preserve">the reach of </w:t>
      </w:r>
      <w:r w:rsidR="00077162" w:rsidRPr="008001A9">
        <w:rPr>
          <w:rFonts w:ascii="Arial" w:hAnsi="Arial" w:cs="Arial"/>
          <w:szCs w:val="24"/>
        </w:rPr>
        <w:t>transnational labour governance.</w:t>
      </w:r>
      <w:r w:rsidR="0025324D" w:rsidRPr="008001A9">
        <w:rPr>
          <w:rFonts w:ascii="Arial" w:hAnsi="Arial" w:cs="Arial"/>
          <w:szCs w:val="24"/>
        </w:rPr>
        <w:t xml:space="preserve">  </w:t>
      </w:r>
    </w:p>
    <w:p w:rsidR="005607BD" w:rsidRDefault="005607BD" w:rsidP="00872B73">
      <w:pPr>
        <w:jc w:val="both"/>
        <w:rPr>
          <w:rFonts w:ascii="Arial" w:hAnsi="Arial" w:cs="Arial"/>
          <w:szCs w:val="24"/>
        </w:rPr>
      </w:pPr>
    </w:p>
    <w:p w:rsidR="005E6E4C" w:rsidRPr="008001A9" w:rsidRDefault="0025324D" w:rsidP="00872B73">
      <w:pPr>
        <w:jc w:val="both"/>
        <w:rPr>
          <w:rFonts w:ascii="Arial" w:hAnsi="Arial" w:cs="Arial"/>
          <w:szCs w:val="24"/>
        </w:rPr>
      </w:pPr>
      <w:r w:rsidRPr="008001A9">
        <w:rPr>
          <w:rFonts w:ascii="Arial" w:hAnsi="Arial" w:cs="Arial"/>
          <w:szCs w:val="24"/>
        </w:rPr>
        <w:t xml:space="preserve">Advocacy organisations </w:t>
      </w:r>
      <w:r w:rsidR="005A3B03" w:rsidRPr="008001A9">
        <w:rPr>
          <w:rFonts w:ascii="Arial" w:hAnsi="Arial" w:cs="Arial"/>
          <w:szCs w:val="24"/>
        </w:rPr>
        <w:t xml:space="preserve">such as </w:t>
      </w:r>
      <w:r w:rsidRPr="008001A9">
        <w:rPr>
          <w:rFonts w:ascii="Arial" w:hAnsi="Arial" w:cs="Arial"/>
          <w:szCs w:val="24"/>
        </w:rPr>
        <w:t>Oxfam, Global Reporting Index, and Sedex</w:t>
      </w:r>
      <w:r w:rsidR="00077162" w:rsidRPr="008001A9">
        <w:rPr>
          <w:rFonts w:ascii="Arial" w:hAnsi="Arial" w:cs="Arial"/>
          <w:szCs w:val="24"/>
        </w:rPr>
        <w:t xml:space="preserve"> </w:t>
      </w:r>
      <w:r w:rsidR="00FF6713" w:rsidRPr="008001A9">
        <w:rPr>
          <w:rFonts w:ascii="Arial" w:hAnsi="Arial" w:cs="Arial"/>
          <w:szCs w:val="24"/>
        </w:rPr>
        <w:t xml:space="preserve">have </w:t>
      </w:r>
      <w:r w:rsidRPr="008001A9">
        <w:rPr>
          <w:rFonts w:ascii="Arial" w:hAnsi="Arial" w:cs="Arial"/>
          <w:szCs w:val="24"/>
        </w:rPr>
        <w:t>dedicate</w:t>
      </w:r>
      <w:r w:rsidR="00FF6713" w:rsidRPr="008001A9">
        <w:rPr>
          <w:rFonts w:ascii="Arial" w:hAnsi="Arial" w:cs="Arial"/>
          <w:szCs w:val="24"/>
        </w:rPr>
        <w:t>d</w:t>
      </w:r>
      <w:r w:rsidRPr="008001A9">
        <w:rPr>
          <w:rFonts w:ascii="Arial" w:hAnsi="Arial" w:cs="Arial"/>
          <w:szCs w:val="24"/>
        </w:rPr>
        <w:t xml:space="preserve"> considerable resources to monitoring compliance with labour standards through third-party auditing</w:t>
      </w:r>
      <w:r w:rsidR="00CB1D74" w:rsidRPr="008001A9">
        <w:rPr>
          <w:rFonts w:ascii="Arial" w:hAnsi="Arial" w:cs="Arial"/>
          <w:szCs w:val="24"/>
        </w:rPr>
        <w:t xml:space="preserve">.  </w:t>
      </w:r>
      <w:r w:rsidR="0003212D" w:rsidRPr="008001A9">
        <w:rPr>
          <w:rFonts w:ascii="Arial" w:hAnsi="Arial" w:cs="Arial"/>
          <w:szCs w:val="24"/>
        </w:rPr>
        <w:t xml:space="preserve">Some </w:t>
      </w:r>
      <w:r w:rsidR="00B275A9" w:rsidRPr="008001A9">
        <w:rPr>
          <w:rFonts w:ascii="Arial" w:hAnsi="Arial" w:cs="Arial"/>
          <w:szCs w:val="24"/>
        </w:rPr>
        <w:t>corporations</w:t>
      </w:r>
      <w:r w:rsidR="00017954" w:rsidRPr="008001A9">
        <w:rPr>
          <w:rFonts w:ascii="Arial" w:hAnsi="Arial" w:cs="Arial"/>
          <w:szCs w:val="24"/>
        </w:rPr>
        <w:t xml:space="preserve"> such as Unilever</w:t>
      </w:r>
      <w:r w:rsidR="00C85FEA" w:rsidRPr="008001A9">
        <w:rPr>
          <w:rFonts w:ascii="Arial" w:hAnsi="Arial" w:cs="Arial"/>
          <w:szCs w:val="24"/>
        </w:rPr>
        <w:t xml:space="preserve"> and H&amp;</w:t>
      </w:r>
      <w:r w:rsidR="002A3E62" w:rsidRPr="008001A9">
        <w:rPr>
          <w:rFonts w:ascii="Arial" w:hAnsi="Arial" w:cs="Arial"/>
          <w:szCs w:val="24"/>
        </w:rPr>
        <w:t>M</w:t>
      </w:r>
      <w:r w:rsidR="00B275A9" w:rsidRPr="008001A9">
        <w:rPr>
          <w:rFonts w:ascii="Arial" w:hAnsi="Arial" w:cs="Arial"/>
          <w:szCs w:val="24"/>
        </w:rPr>
        <w:t>, institutional investors and governments</w:t>
      </w:r>
      <w:r w:rsidR="0003212D" w:rsidRPr="008001A9">
        <w:rPr>
          <w:rFonts w:ascii="Arial" w:hAnsi="Arial" w:cs="Arial"/>
          <w:szCs w:val="24"/>
        </w:rPr>
        <w:t xml:space="preserve">, have responded positively </w:t>
      </w:r>
      <w:r w:rsidR="00B275A9" w:rsidRPr="008001A9">
        <w:rPr>
          <w:rFonts w:ascii="Arial" w:hAnsi="Arial" w:cs="Arial"/>
          <w:szCs w:val="24"/>
        </w:rPr>
        <w:t xml:space="preserve">to </w:t>
      </w:r>
      <w:r w:rsidR="005A3B03" w:rsidRPr="008001A9">
        <w:rPr>
          <w:rFonts w:ascii="Arial" w:hAnsi="Arial" w:cs="Arial"/>
          <w:szCs w:val="24"/>
        </w:rPr>
        <w:t xml:space="preserve">this agenda, facilitating </w:t>
      </w:r>
      <w:r w:rsidR="00FF6713" w:rsidRPr="008001A9">
        <w:rPr>
          <w:rFonts w:ascii="Arial" w:hAnsi="Arial" w:cs="Arial"/>
          <w:szCs w:val="24"/>
        </w:rPr>
        <w:t>in-</w:t>
      </w:r>
      <w:r w:rsidR="00B275A9" w:rsidRPr="008001A9">
        <w:rPr>
          <w:rFonts w:ascii="Arial" w:hAnsi="Arial" w:cs="Arial"/>
          <w:szCs w:val="24"/>
        </w:rPr>
        <w:t xml:space="preserve">depth </w:t>
      </w:r>
      <w:r w:rsidR="0003212D" w:rsidRPr="008001A9">
        <w:rPr>
          <w:rFonts w:ascii="Arial" w:hAnsi="Arial" w:cs="Arial"/>
          <w:szCs w:val="24"/>
        </w:rPr>
        <w:t xml:space="preserve">investigations conducted by these </w:t>
      </w:r>
      <w:r w:rsidR="00F537AE">
        <w:rPr>
          <w:rFonts w:ascii="Arial" w:hAnsi="Arial" w:cs="Arial"/>
          <w:szCs w:val="24"/>
        </w:rPr>
        <w:t xml:space="preserve">advocacy </w:t>
      </w:r>
      <w:r w:rsidR="0003212D" w:rsidRPr="008001A9">
        <w:rPr>
          <w:rFonts w:ascii="Arial" w:hAnsi="Arial" w:cs="Arial"/>
          <w:szCs w:val="24"/>
        </w:rPr>
        <w:t xml:space="preserve">organisations on </w:t>
      </w:r>
      <w:r w:rsidR="00B275A9" w:rsidRPr="008001A9">
        <w:rPr>
          <w:rFonts w:ascii="Arial" w:hAnsi="Arial" w:cs="Arial"/>
          <w:szCs w:val="24"/>
        </w:rPr>
        <w:t xml:space="preserve">labour standards and health and safety practices across </w:t>
      </w:r>
      <w:r w:rsidR="00F537AE">
        <w:rPr>
          <w:rFonts w:ascii="Arial" w:hAnsi="Arial" w:cs="Arial"/>
          <w:szCs w:val="24"/>
        </w:rPr>
        <w:t xml:space="preserve">their </w:t>
      </w:r>
      <w:r w:rsidR="00B275A9" w:rsidRPr="008001A9">
        <w:rPr>
          <w:rFonts w:ascii="Arial" w:hAnsi="Arial" w:cs="Arial"/>
          <w:szCs w:val="24"/>
        </w:rPr>
        <w:t xml:space="preserve">global, regional and local supply chains.  </w:t>
      </w:r>
      <w:r w:rsidR="00CB1D74" w:rsidRPr="008001A9">
        <w:rPr>
          <w:rFonts w:ascii="Arial" w:hAnsi="Arial" w:cs="Arial"/>
          <w:szCs w:val="24"/>
        </w:rPr>
        <w:t xml:space="preserve">In turn, </w:t>
      </w:r>
      <w:r w:rsidR="00531F22" w:rsidRPr="008001A9">
        <w:rPr>
          <w:rFonts w:ascii="Arial" w:hAnsi="Arial" w:cs="Arial"/>
          <w:szCs w:val="24"/>
        </w:rPr>
        <w:t>organisations</w:t>
      </w:r>
      <w:r w:rsidR="00CB1D74" w:rsidRPr="008001A9">
        <w:rPr>
          <w:rFonts w:ascii="Arial" w:hAnsi="Arial" w:cs="Arial"/>
          <w:szCs w:val="24"/>
        </w:rPr>
        <w:t xml:space="preserve"> </w:t>
      </w:r>
      <w:r w:rsidR="00B275A9" w:rsidRPr="008001A9">
        <w:rPr>
          <w:rFonts w:ascii="Arial" w:hAnsi="Arial" w:cs="Arial"/>
          <w:szCs w:val="24"/>
        </w:rPr>
        <w:t xml:space="preserve">such as Sedex </w:t>
      </w:r>
      <w:r w:rsidR="00F537AE">
        <w:rPr>
          <w:rFonts w:ascii="Arial" w:hAnsi="Arial" w:cs="Arial"/>
          <w:szCs w:val="24"/>
        </w:rPr>
        <w:t xml:space="preserve">also </w:t>
      </w:r>
      <w:r w:rsidR="00CB1D74" w:rsidRPr="008001A9">
        <w:rPr>
          <w:rFonts w:ascii="Arial" w:hAnsi="Arial" w:cs="Arial"/>
          <w:szCs w:val="24"/>
        </w:rPr>
        <w:t xml:space="preserve">offer collaborative platforms for </w:t>
      </w:r>
      <w:r w:rsidR="00B275A9" w:rsidRPr="008001A9">
        <w:rPr>
          <w:rFonts w:ascii="Arial" w:hAnsi="Arial" w:cs="Arial"/>
          <w:szCs w:val="24"/>
        </w:rPr>
        <w:t>their 27,</w:t>
      </w:r>
      <w:r w:rsidR="00F537AE">
        <w:rPr>
          <w:rFonts w:ascii="Arial" w:hAnsi="Arial" w:cs="Arial"/>
          <w:szCs w:val="24"/>
        </w:rPr>
        <w:t>5</w:t>
      </w:r>
      <w:r w:rsidR="00B275A9" w:rsidRPr="008001A9">
        <w:rPr>
          <w:rFonts w:ascii="Arial" w:hAnsi="Arial" w:cs="Arial"/>
          <w:szCs w:val="24"/>
        </w:rPr>
        <w:t>00 corporate members</w:t>
      </w:r>
      <w:r w:rsidR="00CB1D74" w:rsidRPr="008001A9">
        <w:rPr>
          <w:rFonts w:ascii="Arial" w:hAnsi="Arial" w:cs="Arial"/>
          <w:szCs w:val="24"/>
        </w:rPr>
        <w:t xml:space="preserve"> to share ethical supply chain data </w:t>
      </w:r>
      <w:r w:rsidR="00B275A9" w:rsidRPr="008001A9">
        <w:rPr>
          <w:rFonts w:ascii="Arial" w:hAnsi="Arial" w:cs="Arial"/>
          <w:szCs w:val="24"/>
        </w:rPr>
        <w:t>based on the ETI code.</w:t>
      </w:r>
    </w:p>
    <w:p w:rsidR="00D95235" w:rsidRPr="008001A9" w:rsidRDefault="00D95235" w:rsidP="00872B73">
      <w:pPr>
        <w:jc w:val="both"/>
        <w:rPr>
          <w:rFonts w:ascii="Arial" w:hAnsi="Arial" w:cs="Arial"/>
          <w:szCs w:val="24"/>
        </w:rPr>
      </w:pPr>
    </w:p>
    <w:p w:rsidR="00444E83" w:rsidRPr="008001A9" w:rsidRDefault="00444E83" w:rsidP="00872B73">
      <w:pPr>
        <w:jc w:val="both"/>
        <w:rPr>
          <w:rFonts w:ascii="Arial" w:hAnsi="Arial" w:cs="Arial"/>
          <w:szCs w:val="24"/>
        </w:rPr>
      </w:pPr>
      <w:r w:rsidRPr="008001A9">
        <w:rPr>
          <w:rFonts w:ascii="Arial" w:hAnsi="Arial" w:cs="Arial"/>
          <w:szCs w:val="24"/>
        </w:rPr>
        <w:t>A living wage is defined by Oxfam as one which ‘for a full-time working week without overtime, would allow a family to meet its basic needs – including shelter, clothing, and nutrition – and allow an amount for discretionary spending’.</w:t>
      </w:r>
      <w:r w:rsidR="00185FC8">
        <w:rPr>
          <w:rStyle w:val="FootnoteReference"/>
          <w:rFonts w:ascii="Arial" w:hAnsi="Arial" w:cs="Arial"/>
          <w:szCs w:val="24"/>
        </w:rPr>
        <w:footnoteReference w:id="1"/>
      </w:r>
      <w:r w:rsidR="00892DE5">
        <w:rPr>
          <w:rFonts w:ascii="Arial" w:hAnsi="Arial" w:cs="Arial"/>
          <w:szCs w:val="24"/>
        </w:rPr>
        <w:t xml:space="preserve"> </w:t>
      </w:r>
      <w:r w:rsidR="00F63509" w:rsidRPr="008001A9">
        <w:rPr>
          <w:rFonts w:ascii="Arial" w:hAnsi="Arial" w:cs="Arial"/>
          <w:szCs w:val="24"/>
        </w:rPr>
        <w:t xml:space="preserve">The Asia Floor Wage campaign and wage ladder tools provide a credible methodology for calculating a living wage.  </w:t>
      </w:r>
      <w:r w:rsidR="00730FEB" w:rsidRPr="008001A9">
        <w:rPr>
          <w:rFonts w:ascii="Arial" w:hAnsi="Arial" w:cs="Arial"/>
          <w:szCs w:val="24"/>
        </w:rPr>
        <w:t xml:space="preserve">However, often the focus </w:t>
      </w:r>
      <w:r w:rsidR="00F92548" w:rsidRPr="008001A9">
        <w:rPr>
          <w:rFonts w:ascii="Arial" w:hAnsi="Arial" w:cs="Arial"/>
          <w:szCs w:val="24"/>
        </w:rPr>
        <w:t xml:space="preserve">of international standards </w:t>
      </w:r>
      <w:r w:rsidR="00802DB8" w:rsidRPr="008001A9">
        <w:rPr>
          <w:rFonts w:ascii="Arial" w:hAnsi="Arial" w:cs="Arial"/>
          <w:szCs w:val="24"/>
        </w:rPr>
        <w:t xml:space="preserve">has </w:t>
      </w:r>
      <w:r w:rsidR="00730FEB" w:rsidRPr="008001A9">
        <w:rPr>
          <w:rFonts w:ascii="Arial" w:hAnsi="Arial" w:cs="Arial"/>
          <w:szCs w:val="24"/>
        </w:rPr>
        <w:t>fall</w:t>
      </w:r>
      <w:r w:rsidR="00802DB8" w:rsidRPr="008001A9">
        <w:rPr>
          <w:rFonts w:ascii="Arial" w:hAnsi="Arial" w:cs="Arial"/>
          <w:szCs w:val="24"/>
        </w:rPr>
        <w:t>en</w:t>
      </w:r>
      <w:r w:rsidR="00730FEB" w:rsidRPr="008001A9">
        <w:rPr>
          <w:rFonts w:ascii="Arial" w:hAnsi="Arial" w:cs="Arial"/>
          <w:szCs w:val="24"/>
        </w:rPr>
        <w:t xml:space="preserve"> on upholding statutory minimum wage </w:t>
      </w:r>
      <w:r w:rsidR="005A3B03" w:rsidRPr="008001A9">
        <w:rPr>
          <w:rFonts w:ascii="Arial" w:hAnsi="Arial" w:cs="Arial"/>
          <w:szCs w:val="24"/>
        </w:rPr>
        <w:t xml:space="preserve">levels </w:t>
      </w:r>
      <w:r w:rsidR="00F776F2" w:rsidRPr="008001A9">
        <w:rPr>
          <w:rFonts w:ascii="Arial" w:hAnsi="Arial" w:cs="Arial"/>
          <w:szCs w:val="24"/>
        </w:rPr>
        <w:t>(with the exception of the ETI Base code and SA8000)</w:t>
      </w:r>
      <w:r w:rsidR="00730FEB" w:rsidRPr="008001A9">
        <w:rPr>
          <w:rFonts w:ascii="Arial" w:hAnsi="Arial" w:cs="Arial"/>
          <w:szCs w:val="24"/>
        </w:rPr>
        <w:t xml:space="preserve">.  This is problematic given that minimum wage provisions </w:t>
      </w:r>
      <w:r w:rsidR="00942AB0">
        <w:rPr>
          <w:rFonts w:ascii="Arial" w:hAnsi="Arial" w:cs="Arial"/>
          <w:szCs w:val="24"/>
        </w:rPr>
        <w:t xml:space="preserve">often </w:t>
      </w:r>
      <w:r w:rsidR="00730FEB" w:rsidRPr="008001A9">
        <w:rPr>
          <w:rFonts w:ascii="Arial" w:hAnsi="Arial" w:cs="Arial"/>
          <w:szCs w:val="24"/>
        </w:rPr>
        <w:t>fall far short of a living wage</w:t>
      </w:r>
      <w:r w:rsidR="00875EF5" w:rsidRPr="008001A9">
        <w:rPr>
          <w:rFonts w:ascii="Arial" w:hAnsi="Arial" w:cs="Arial"/>
          <w:szCs w:val="24"/>
        </w:rPr>
        <w:t xml:space="preserve"> </w:t>
      </w:r>
      <w:r w:rsidR="005A3B03" w:rsidRPr="008001A9">
        <w:rPr>
          <w:rFonts w:ascii="Arial" w:hAnsi="Arial" w:cs="Arial"/>
          <w:szCs w:val="24"/>
        </w:rPr>
        <w:t xml:space="preserve">in a context of rising </w:t>
      </w:r>
      <w:r w:rsidR="00875EF5" w:rsidRPr="008001A9">
        <w:rPr>
          <w:rFonts w:ascii="Arial" w:hAnsi="Arial" w:cs="Arial"/>
          <w:szCs w:val="24"/>
        </w:rPr>
        <w:t>staple food</w:t>
      </w:r>
      <w:r w:rsidR="005A3B03" w:rsidRPr="008001A9">
        <w:rPr>
          <w:rFonts w:ascii="Arial" w:hAnsi="Arial" w:cs="Arial"/>
          <w:szCs w:val="24"/>
        </w:rPr>
        <w:t xml:space="preserve"> costs.</w:t>
      </w:r>
      <w:r w:rsidR="00730FEB" w:rsidRPr="008001A9">
        <w:rPr>
          <w:rFonts w:ascii="Arial" w:hAnsi="Arial" w:cs="Arial"/>
          <w:szCs w:val="24"/>
        </w:rPr>
        <w:t xml:space="preserve"> </w:t>
      </w:r>
      <w:r w:rsidR="0045726D">
        <w:rPr>
          <w:rFonts w:ascii="Arial" w:hAnsi="Arial" w:cs="Arial"/>
          <w:szCs w:val="24"/>
        </w:rPr>
        <w:t>W</w:t>
      </w:r>
      <w:r w:rsidR="005A3B03" w:rsidRPr="008001A9">
        <w:rPr>
          <w:rFonts w:ascii="Arial" w:hAnsi="Arial" w:cs="Arial"/>
          <w:szCs w:val="24"/>
        </w:rPr>
        <w:t xml:space="preserve">eak </w:t>
      </w:r>
      <w:r w:rsidR="00EF6E74" w:rsidRPr="008001A9">
        <w:rPr>
          <w:rFonts w:ascii="Arial" w:hAnsi="Arial" w:cs="Arial"/>
          <w:szCs w:val="24"/>
        </w:rPr>
        <w:t xml:space="preserve">enforcement of minimum wage provisions and the prevalence of informal practices </w:t>
      </w:r>
      <w:r w:rsidR="00EF6E74" w:rsidRPr="008001A9">
        <w:rPr>
          <w:rFonts w:ascii="Arial" w:hAnsi="Arial" w:cs="Arial"/>
          <w:szCs w:val="24"/>
        </w:rPr>
        <w:lastRenderedPageBreak/>
        <w:t>such as ‘labour dispatch services’</w:t>
      </w:r>
      <w:r w:rsidR="00B67C57" w:rsidRPr="008001A9">
        <w:rPr>
          <w:rFonts w:ascii="Arial" w:hAnsi="Arial" w:cs="Arial"/>
          <w:szCs w:val="24"/>
        </w:rPr>
        <w:t xml:space="preserve"> and a black market in </w:t>
      </w:r>
      <w:r w:rsidR="003D3818" w:rsidRPr="008001A9">
        <w:rPr>
          <w:rFonts w:ascii="Arial" w:hAnsi="Arial" w:cs="Arial"/>
          <w:szCs w:val="24"/>
        </w:rPr>
        <w:t>temporary workers</w:t>
      </w:r>
      <w:r w:rsidR="00F92548" w:rsidRPr="008001A9">
        <w:rPr>
          <w:rFonts w:ascii="Arial" w:hAnsi="Arial" w:cs="Arial"/>
          <w:szCs w:val="24"/>
        </w:rPr>
        <w:t xml:space="preserve"> pose further obstacles</w:t>
      </w:r>
      <w:r w:rsidR="00A45765" w:rsidRPr="008001A9">
        <w:rPr>
          <w:rFonts w:ascii="Arial" w:hAnsi="Arial" w:cs="Arial"/>
          <w:szCs w:val="24"/>
        </w:rPr>
        <w:t>.</w:t>
      </w:r>
    </w:p>
    <w:p w:rsidR="00FA3C8B" w:rsidRPr="008001A9" w:rsidRDefault="00FA3C8B" w:rsidP="00872B73">
      <w:pPr>
        <w:jc w:val="both"/>
        <w:rPr>
          <w:rFonts w:ascii="Arial" w:hAnsi="Arial" w:cs="Arial"/>
          <w:szCs w:val="24"/>
        </w:rPr>
      </w:pPr>
    </w:p>
    <w:p w:rsidR="004B6344" w:rsidRPr="008001A9" w:rsidRDefault="004B6344" w:rsidP="00872B73">
      <w:pPr>
        <w:jc w:val="both"/>
        <w:rPr>
          <w:rFonts w:ascii="Arial" w:hAnsi="Arial" w:cs="Arial"/>
          <w:i/>
          <w:szCs w:val="24"/>
        </w:rPr>
      </w:pPr>
      <w:r w:rsidRPr="008001A9">
        <w:rPr>
          <w:rFonts w:ascii="Arial" w:hAnsi="Arial" w:cs="Arial"/>
          <w:i/>
          <w:szCs w:val="24"/>
        </w:rPr>
        <w:t>The Governance Challenge</w:t>
      </w:r>
    </w:p>
    <w:p w:rsidR="004B6344" w:rsidRPr="008001A9" w:rsidRDefault="004B6344" w:rsidP="00872B73">
      <w:pPr>
        <w:jc w:val="both"/>
        <w:rPr>
          <w:rFonts w:ascii="Arial" w:hAnsi="Arial" w:cs="Arial"/>
          <w:szCs w:val="24"/>
        </w:rPr>
      </w:pPr>
    </w:p>
    <w:p w:rsidR="0003212D" w:rsidRPr="008001A9" w:rsidRDefault="003D57A1" w:rsidP="00872B73">
      <w:pPr>
        <w:jc w:val="both"/>
        <w:rPr>
          <w:rFonts w:ascii="Arial" w:hAnsi="Arial" w:cs="Arial"/>
          <w:szCs w:val="24"/>
        </w:rPr>
      </w:pPr>
      <w:r w:rsidRPr="008001A9">
        <w:rPr>
          <w:rFonts w:ascii="Arial" w:hAnsi="Arial" w:cs="Arial"/>
          <w:szCs w:val="24"/>
        </w:rPr>
        <w:t xml:space="preserve">At its most fundamental, </w:t>
      </w:r>
      <w:r w:rsidR="0066727B" w:rsidRPr="008001A9">
        <w:rPr>
          <w:rFonts w:ascii="Arial" w:hAnsi="Arial" w:cs="Arial"/>
          <w:szCs w:val="24"/>
        </w:rPr>
        <w:t xml:space="preserve">as highlighted in Table 1, </w:t>
      </w:r>
      <w:r w:rsidRPr="008001A9">
        <w:rPr>
          <w:rFonts w:ascii="Arial" w:hAnsi="Arial" w:cs="Arial"/>
          <w:szCs w:val="24"/>
        </w:rPr>
        <w:t xml:space="preserve">embedding a living wage into global supply chain management highlights a realm where the forces of globalisation are constantly reshaping the </w:t>
      </w:r>
      <w:r w:rsidRPr="008001A9">
        <w:rPr>
          <w:rFonts w:ascii="Arial" w:hAnsi="Arial" w:cs="Arial"/>
          <w:i/>
          <w:szCs w:val="24"/>
        </w:rPr>
        <w:t>scale</w:t>
      </w:r>
      <w:r w:rsidRPr="008001A9">
        <w:rPr>
          <w:rFonts w:ascii="Arial" w:hAnsi="Arial" w:cs="Arial"/>
          <w:szCs w:val="24"/>
        </w:rPr>
        <w:t xml:space="preserve"> of governance challenges, the </w:t>
      </w:r>
      <w:r w:rsidRPr="008001A9">
        <w:rPr>
          <w:rFonts w:ascii="Arial" w:hAnsi="Arial" w:cs="Arial"/>
          <w:i/>
          <w:szCs w:val="24"/>
        </w:rPr>
        <w:t>sources</w:t>
      </w:r>
      <w:r w:rsidRPr="008001A9">
        <w:rPr>
          <w:rFonts w:ascii="Arial" w:hAnsi="Arial" w:cs="Arial"/>
          <w:szCs w:val="24"/>
        </w:rPr>
        <w:t xml:space="preserve"> of control and </w:t>
      </w:r>
      <w:r w:rsidR="003630E9" w:rsidRPr="008001A9">
        <w:rPr>
          <w:rFonts w:ascii="Arial" w:hAnsi="Arial" w:cs="Arial"/>
          <w:szCs w:val="24"/>
        </w:rPr>
        <w:t>influence</w:t>
      </w:r>
      <w:r w:rsidRPr="008001A9">
        <w:rPr>
          <w:rFonts w:ascii="Arial" w:hAnsi="Arial" w:cs="Arial"/>
          <w:szCs w:val="24"/>
        </w:rPr>
        <w:t xml:space="preserve">, and the </w:t>
      </w:r>
      <w:r w:rsidRPr="008001A9">
        <w:rPr>
          <w:rFonts w:ascii="Arial" w:hAnsi="Arial" w:cs="Arial"/>
          <w:i/>
          <w:szCs w:val="24"/>
        </w:rPr>
        <w:t>subjects</w:t>
      </w:r>
      <w:r w:rsidRPr="008001A9">
        <w:rPr>
          <w:rFonts w:ascii="Arial" w:hAnsi="Arial" w:cs="Arial"/>
          <w:szCs w:val="24"/>
        </w:rPr>
        <w:t xml:space="preserve"> o</w:t>
      </w:r>
      <w:r w:rsidR="00F46AE0" w:rsidRPr="008001A9">
        <w:rPr>
          <w:rFonts w:ascii="Arial" w:hAnsi="Arial" w:cs="Arial"/>
          <w:szCs w:val="24"/>
        </w:rPr>
        <w:t>f control.</w:t>
      </w:r>
      <w:r w:rsidR="00892DE5">
        <w:rPr>
          <w:rStyle w:val="FootnoteReference"/>
          <w:rFonts w:ascii="Arial" w:hAnsi="Arial" w:cs="Arial"/>
          <w:szCs w:val="24"/>
        </w:rPr>
        <w:footnoteReference w:id="2"/>
      </w:r>
      <w:r w:rsidR="006F3863" w:rsidRPr="008001A9">
        <w:rPr>
          <w:rFonts w:ascii="Arial" w:hAnsi="Arial" w:cs="Arial"/>
          <w:szCs w:val="24"/>
        </w:rPr>
        <w:t xml:space="preserve"> In this exercise, we are interested in identifying where, why and how governance operates</w:t>
      </w:r>
      <w:r w:rsidR="00E408E2">
        <w:rPr>
          <w:rFonts w:ascii="Arial" w:hAnsi="Arial" w:cs="Arial"/>
          <w:szCs w:val="24"/>
        </w:rPr>
        <w:t xml:space="preserve"> among a diverse set of</w:t>
      </w:r>
      <w:r w:rsidR="00EE52F4">
        <w:rPr>
          <w:rFonts w:ascii="Arial" w:hAnsi="Arial" w:cs="Arial"/>
          <w:szCs w:val="24"/>
        </w:rPr>
        <w:t xml:space="preserve"> </w:t>
      </w:r>
      <w:r w:rsidR="00E408E2">
        <w:rPr>
          <w:rFonts w:ascii="Arial" w:hAnsi="Arial" w:cs="Arial"/>
          <w:szCs w:val="24"/>
        </w:rPr>
        <w:t>actors</w:t>
      </w:r>
      <w:r w:rsidR="006F3863" w:rsidRPr="008001A9">
        <w:rPr>
          <w:rFonts w:ascii="Arial" w:hAnsi="Arial" w:cs="Arial"/>
          <w:szCs w:val="24"/>
        </w:rPr>
        <w:t>.</w:t>
      </w:r>
    </w:p>
    <w:p w:rsidR="0003212D" w:rsidRPr="008001A9" w:rsidRDefault="0003212D" w:rsidP="00872B73">
      <w:pPr>
        <w:jc w:val="both"/>
        <w:rPr>
          <w:rFonts w:ascii="Arial" w:hAnsi="Arial" w:cs="Arial"/>
          <w:szCs w:val="24"/>
        </w:rPr>
      </w:pPr>
    </w:p>
    <w:p w:rsidR="00BC7678" w:rsidRPr="008001A9" w:rsidRDefault="00BC7678" w:rsidP="00E408E2">
      <w:pPr>
        <w:spacing w:after="60"/>
        <w:jc w:val="center"/>
        <w:rPr>
          <w:rFonts w:ascii="Arial" w:hAnsi="Arial" w:cs="Arial"/>
          <w:b/>
          <w:szCs w:val="24"/>
        </w:rPr>
      </w:pPr>
      <w:r w:rsidRPr="008001A9">
        <w:rPr>
          <w:rFonts w:ascii="Arial" w:hAnsi="Arial" w:cs="Arial"/>
          <w:b/>
          <w:szCs w:val="24"/>
        </w:rPr>
        <w:t>Table 1</w:t>
      </w:r>
      <w:r w:rsidR="00AA6A21" w:rsidRPr="008001A9">
        <w:rPr>
          <w:rFonts w:ascii="Arial" w:hAnsi="Arial" w:cs="Arial"/>
          <w:b/>
          <w:szCs w:val="24"/>
        </w:rPr>
        <w:t>.</w:t>
      </w:r>
      <w:r w:rsidRPr="008001A9">
        <w:rPr>
          <w:rFonts w:ascii="Arial" w:hAnsi="Arial" w:cs="Arial"/>
          <w:b/>
          <w:szCs w:val="24"/>
        </w:rPr>
        <w:t xml:space="preserve"> </w:t>
      </w:r>
      <w:r w:rsidR="00E172EB" w:rsidRPr="008001A9">
        <w:rPr>
          <w:rFonts w:ascii="Arial" w:hAnsi="Arial" w:cs="Arial"/>
          <w:b/>
          <w:szCs w:val="24"/>
        </w:rPr>
        <w:t xml:space="preserve">Labour Governance: </w:t>
      </w:r>
      <w:r w:rsidR="00AA6A21" w:rsidRPr="008001A9">
        <w:rPr>
          <w:rFonts w:ascii="Arial" w:hAnsi="Arial" w:cs="Arial"/>
          <w:b/>
          <w:szCs w:val="24"/>
        </w:rPr>
        <w:t>A</w:t>
      </w:r>
      <w:r w:rsidRPr="008001A9">
        <w:rPr>
          <w:rFonts w:ascii="Arial" w:hAnsi="Arial" w:cs="Arial"/>
          <w:b/>
          <w:szCs w:val="24"/>
        </w:rPr>
        <w:t>ctors</w:t>
      </w:r>
      <w:r w:rsidR="00E172EB" w:rsidRPr="008001A9">
        <w:rPr>
          <w:rFonts w:ascii="Arial" w:hAnsi="Arial" w:cs="Arial"/>
          <w:b/>
          <w:szCs w:val="24"/>
        </w:rPr>
        <w:t xml:space="preserve"> and Sources of </w:t>
      </w:r>
      <w:r w:rsidR="00AA6A21" w:rsidRPr="008001A9">
        <w:rPr>
          <w:rFonts w:ascii="Arial" w:hAnsi="Arial" w:cs="Arial"/>
          <w:b/>
          <w:szCs w:val="24"/>
        </w:rPr>
        <w:t>C</w:t>
      </w:r>
      <w:r w:rsidRPr="008001A9">
        <w:rPr>
          <w:rFonts w:ascii="Arial" w:hAnsi="Arial" w:cs="Arial"/>
          <w:b/>
          <w:szCs w:val="24"/>
        </w:rPr>
        <w:t>ontrol</w:t>
      </w:r>
    </w:p>
    <w:tbl>
      <w:tblPr>
        <w:tblStyle w:val="TableGrid"/>
        <w:tblW w:w="0" w:type="auto"/>
        <w:jc w:val="center"/>
        <w:tblInd w:w="-410" w:type="dxa"/>
        <w:tblLook w:val="04A0"/>
      </w:tblPr>
      <w:tblGrid>
        <w:gridCol w:w="2454"/>
        <w:gridCol w:w="4182"/>
        <w:gridCol w:w="2882"/>
      </w:tblGrid>
      <w:tr w:rsidR="005607BD" w:rsidRPr="005607BD" w:rsidTr="00FF074C">
        <w:trPr>
          <w:trHeight w:val="710"/>
          <w:tblHeader/>
          <w:jc w:val="center"/>
        </w:trPr>
        <w:tc>
          <w:tcPr>
            <w:tcW w:w="2454" w:type="dxa"/>
            <w:vAlign w:val="center"/>
          </w:tcPr>
          <w:p w:rsidR="005607BD" w:rsidRPr="005607BD" w:rsidRDefault="005607BD" w:rsidP="00FF074C">
            <w:pPr>
              <w:jc w:val="center"/>
              <w:rPr>
                <w:rFonts w:ascii="Arial" w:hAnsi="Arial" w:cs="Arial"/>
                <w:b/>
                <w:szCs w:val="24"/>
              </w:rPr>
            </w:pPr>
            <w:r w:rsidRPr="005607BD">
              <w:rPr>
                <w:rFonts w:ascii="Arial" w:hAnsi="Arial" w:cs="Arial"/>
                <w:b/>
                <w:szCs w:val="24"/>
              </w:rPr>
              <w:t>Actor</w:t>
            </w:r>
          </w:p>
        </w:tc>
        <w:tc>
          <w:tcPr>
            <w:tcW w:w="4182" w:type="dxa"/>
            <w:vAlign w:val="center"/>
          </w:tcPr>
          <w:p w:rsidR="005607BD" w:rsidRPr="005607BD" w:rsidRDefault="005607BD" w:rsidP="00FF074C">
            <w:pPr>
              <w:jc w:val="center"/>
              <w:rPr>
                <w:rFonts w:ascii="Arial" w:hAnsi="Arial" w:cs="Arial"/>
                <w:b/>
                <w:szCs w:val="24"/>
              </w:rPr>
            </w:pPr>
            <w:r w:rsidRPr="005607BD">
              <w:rPr>
                <w:rFonts w:ascii="Arial" w:hAnsi="Arial" w:cs="Arial"/>
                <w:b/>
                <w:szCs w:val="24"/>
              </w:rPr>
              <w:t>Levers of Control</w:t>
            </w:r>
          </w:p>
        </w:tc>
        <w:tc>
          <w:tcPr>
            <w:tcW w:w="2882" w:type="dxa"/>
            <w:vAlign w:val="center"/>
          </w:tcPr>
          <w:p w:rsidR="005607BD" w:rsidRPr="005607BD" w:rsidRDefault="005607BD" w:rsidP="00FF074C">
            <w:pPr>
              <w:jc w:val="center"/>
              <w:rPr>
                <w:rFonts w:ascii="Arial" w:hAnsi="Arial" w:cs="Arial"/>
                <w:b/>
                <w:szCs w:val="24"/>
              </w:rPr>
            </w:pPr>
            <w:r w:rsidRPr="005607BD">
              <w:rPr>
                <w:rFonts w:ascii="Arial" w:hAnsi="Arial" w:cs="Arial"/>
                <w:b/>
                <w:szCs w:val="24"/>
              </w:rPr>
              <w:t>Subjects of Control</w:t>
            </w:r>
          </w:p>
        </w:tc>
      </w:tr>
      <w:tr w:rsidR="005607BD" w:rsidRPr="005607BD" w:rsidTr="00FF074C">
        <w:trPr>
          <w:trHeight w:val="890"/>
          <w:jc w:val="center"/>
        </w:trPr>
        <w:tc>
          <w:tcPr>
            <w:tcW w:w="2454"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Transnational corporation</w:t>
            </w:r>
          </w:p>
        </w:tc>
        <w:tc>
          <w:tcPr>
            <w:tcW w:w="4182"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Procurement and wage bargaining; implementation of international and domestic regulation; internal codes of practice</w:t>
            </w:r>
          </w:p>
        </w:tc>
        <w:tc>
          <w:tcPr>
            <w:tcW w:w="2882" w:type="dxa"/>
            <w:vAlign w:val="center"/>
          </w:tcPr>
          <w:p w:rsidR="005607BD" w:rsidRPr="005607BD" w:rsidRDefault="005607BD" w:rsidP="00FF074C">
            <w:pPr>
              <w:rPr>
                <w:rFonts w:ascii="Arial" w:hAnsi="Arial" w:cs="Arial"/>
                <w:szCs w:val="24"/>
              </w:rPr>
            </w:pPr>
            <w:r w:rsidRPr="005607BD">
              <w:rPr>
                <w:rFonts w:ascii="Arial" w:hAnsi="Arial" w:cs="Arial"/>
                <w:szCs w:val="24"/>
              </w:rPr>
              <w:t>Suppliers (at multiple tiers); third parties; workforce</w:t>
            </w:r>
          </w:p>
        </w:tc>
      </w:tr>
      <w:tr w:rsidR="005607BD" w:rsidRPr="005607BD" w:rsidTr="00FF074C">
        <w:trPr>
          <w:trHeight w:val="966"/>
          <w:jc w:val="center"/>
        </w:trPr>
        <w:tc>
          <w:tcPr>
            <w:tcW w:w="2454"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In-country supplier SMEs</w:t>
            </w:r>
          </w:p>
        </w:tc>
        <w:tc>
          <w:tcPr>
            <w:tcW w:w="4182"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Procurement and wage bargaining; implementation of international and domestic regulation; internal codes of practice</w:t>
            </w:r>
          </w:p>
        </w:tc>
        <w:tc>
          <w:tcPr>
            <w:tcW w:w="2882" w:type="dxa"/>
            <w:vAlign w:val="center"/>
          </w:tcPr>
          <w:p w:rsidR="005607BD" w:rsidRPr="005607BD" w:rsidRDefault="005607BD" w:rsidP="00FF074C">
            <w:pPr>
              <w:rPr>
                <w:rFonts w:ascii="Arial" w:hAnsi="Arial" w:cs="Arial"/>
                <w:szCs w:val="24"/>
              </w:rPr>
            </w:pPr>
            <w:r w:rsidRPr="005607BD">
              <w:rPr>
                <w:rFonts w:ascii="Arial" w:hAnsi="Arial" w:cs="Arial"/>
                <w:szCs w:val="24"/>
              </w:rPr>
              <w:t>Sub-contractors; third parties; workforce</w:t>
            </w:r>
          </w:p>
        </w:tc>
      </w:tr>
      <w:tr w:rsidR="005607BD" w:rsidRPr="005607BD" w:rsidTr="00FF074C">
        <w:trPr>
          <w:trHeight w:val="818"/>
          <w:jc w:val="center"/>
        </w:trPr>
        <w:tc>
          <w:tcPr>
            <w:tcW w:w="2454"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Institutional investor</w:t>
            </w:r>
          </w:p>
        </w:tc>
        <w:tc>
          <w:tcPr>
            <w:tcW w:w="4182"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Ethical investment decision-making</w:t>
            </w:r>
          </w:p>
        </w:tc>
        <w:tc>
          <w:tcPr>
            <w:tcW w:w="2882" w:type="dxa"/>
            <w:vAlign w:val="center"/>
          </w:tcPr>
          <w:p w:rsidR="005607BD" w:rsidRPr="005607BD" w:rsidRDefault="005607BD" w:rsidP="00FF074C">
            <w:pPr>
              <w:rPr>
                <w:rFonts w:ascii="Arial" w:hAnsi="Arial" w:cs="Arial"/>
                <w:szCs w:val="24"/>
              </w:rPr>
            </w:pPr>
            <w:r w:rsidRPr="005607BD">
              <w:rPr>
                <w:rFonts w:ascii="Arial" w:hAnsi="Arial" w:cs="Arial"/>
                <w:szCs w:val="24"/>
              </w:rPr>
              <w:t>Transnational corporations</w:t>
            </w:r>
          </w:p>
        </w:tc>
      </w:tr>
      <w:tr w:rsidR="005607BD" w:rsidRPr="005607BD" w:rsidTr="00FF074C">
        <w:trPr>
          <w:trHeight w:val="890"/>
          <w:jc w:val="center"/>
        </w:trPr>
        <w:tc>
          <w:tcPr>
            <w:tcW w:w="2454"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International and local CSOs/public interest groups</w:t>
            </w:r>
          </w:p>
        </w:tc>
        <w:tc>
          <w:tcPr>
            <w:tcW w:w="4182"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Status maximisation and reputational costs; external auditing; adjudicatory and grievance mechanisms</w:t>
            </w:r>
          </w:p>
        </w:tc>
        <w:tc>
          <w:tcPr>
            <w:tcW w:w="2882" w:type="dxa"/>
            <w:vAlign w:val="center"/>
          </w:tcPr>
          <w:p w:rsidR="005607BD" w:rsidRPr="005607BD" w:rsidRDefault="005607BD" w:rsidP="00FF074C">
            <w:pPr>
              <w:rPr>
                <w:rFonts w:ascii="Arial" w:hAnsi="Arial" w:cs="Arial"/>
                <w:szCs w:val="24"/>
              </w:rPr>
            </w:pPr>
            <w:r w:rsidRPr="005607BD">
              <w:rPr>
                <w:rFonts w:ascii="Arial" w:hAnsi="Arial" w:cs="Arial"/>
                <w:szCs w:val="24"/>
              </w:rPr>
              <w:t xml:space="preserve">Transnational corporations; suppliers; third-parties; government </w:t>
            </w:r>
          </w:p>
        </w:tc>
      </w:tr>
      <w:tr w:rsidR="005607BD" w:rsidRPr="005607BD" w:rsidTr="00FF074C">
        <w:trPr>
          <w:trHeight w:val="1061"/>
          <w:jc w:val="center"/>
        </w:trPr>
        <w:tc>
          <w:tcPr>
            <w:tcW w:w="2454"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Government (purchaser country)</w:t>
            </w:r>
          </w:p>
        </w:tc>
        <w:tc>
          <w:tcPr>
            <w:tcW w:w="4182"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Implementation of domestic, international labour and human rights standards</w:t>
            </w:r>
          </w:p>
        </w:tc>
        <w:tc>
          <w:tcPr>
            <w:tcW w:w="2882" w:type="dxa"/>
            <w:vAlign w:val="center"/>
          </w:tcPr>
          <w:p w:rsidR="005607BD" w:rsidRPr="005607BD" w:rsidRDefault="005607BD" w:rsidP="00FF074C">
            <w:pPr>
              <w:rPr>
                <w:rFonts w:ascii="Arial" w:hAnsi="Arial" w:cs="Arial"/>
                <w:szCs w:val="24"/>
              </w:rPr>
            </w:pPr>
            <w:r w:rsidRPr="005607BD">
              <w:rPr>
                <w:rFonts w:ascii="Arial" w:hAnsi="Arial" w:cs="Arial"/>
                <w:szCs w:val="24"/>
              </w:rPr>
              <w:t>Transnational corporations; governments</w:t>
            </w:r>
          </w:p>
        </w:tc>
      </w:tr>
      <w:tr w:rsidR="005607BD" w:rsidRPr="005607BD" w:rsidTr="00FF074C">
        <w:trPr>
          <w:trHeight w:val="966"/>
          <w:jc w:val="center"/>
        </w:trPr>
        <w:tc>
          <w:tcPr>
            <w:tcW w:w="2454"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Government (supplier country)</w:t>
            </w:r>
          </w:p>
        </w:tc>
        <w:tc>
          <w:tcPr>
            <w:tcW w:w="4182" w:type="dxa"/>
            <w:vAlign w:val="center"/>
          </w:tcPr>
          <w:p w:rsidR="005607BD" w:rsidRPr="005607BD" w:rsidRDefault="005607BD" w:rsidP="00FF074C">
            <w:pPr>
              <w:jc w:val="center"/>
              <w:rPr>
                <w:rFonts w:ascii="Arial" w:hAnsi="Arial" w:cs="Arial"/>
                <w:szCs w:val="24"/>
              </w:rPr>
            </w:pPr>
            <w:r w:rsidRPr="005607BD">
              <w:rPr>
                <w:rFonts w:ascii="Arial" w:hAnsi="Arial" w:cs="Arial"/>
                <w:szCs w:val="24"/>
              </w:rPr>
              <w:t>Implementation of domestic, international labour and human rights standards</w:t>
            </w:r>
          </w:p>
        </w:tc>
        <w:tc>
          <w:tcPr>
            <w:tcW w:w="2882" w:type="dxa"/>
            <w:vAlign w:val="center"/>
          </w:tcPr>
          <w:p w:rsidR="005607BD" w:rsidRPr="005607BD" w:rsidRDefault="005607BD" w:rsidP="00FF074C">
            <w:pPr>
              <w:rPr>
                <w:rFonts w:ascii="Arial" w:hAnsi="Arial" w:cs="Arial"/>
                <w:szCs w:val="24"/>
              </w:rPr>
            </w:pPr>
            <w:r w:rsidRPr="005607BD">
              <w:rPr>
                <w:rFonts w:ascii="Arial" w:hAnsi="Arial" w:cs="Arial"/>
                <w:szCs w:val="24"/>
              </w:rPr>
              <w:t>Suppliers; sub-contractors; third-parties; workforce</w:t>
            </w:r>
          </w:p>
        </w:tc>
      </w:tr>
    </w:tbl>
    <w:p w:rsidR="00D27435" w:rsidRPr="008001A9" w:rsidRDefault="00D27435" w:rsidP="00872B73">
      <w:pPr>
        <w:jc w:val="both"/>
        <w:rPr>
          <w:rFonts w:ascii="Arial" w:hAnsi="Arial" w:cs="Arial"/>
          <w:szCs w:val="24"/>
        </w:rPr>
      </w:pPr>
    </w:p>
    <w:p w:rsidR="00792D17" w:rsidRPr="008001A9" w:rsidRDefault="001836B4" w:rsidP="00872B73">
      <w:pPr>
        <w:jc w:val="both"/>
        <w:rPr>
          <w:rFonts w:ascii="Arial" w:hAnsi="Arial" w:cs="Arial"/>
          <w:szCs w:val="24"/>
        </w:rPr>
      </w:pPr>
      <w:r w:rsidRPr="008001A9">
        <w:rPr>
          <w:rFonts w:ascii="Arial" w:hAnsi="Arial" w:cs="Arial"/>
          <w:szCs w:val="24"/>
        </w:rPr>
        <w:t>S</w:t>
      </w:r>
      <w:r w:rsidR="006F3863" w:rsidRPr="008001A9">
        <w:rPr>
          <w:rFonts w:ascii="Arial" w:hAnsi="Arial" w:cs="Arial"/>
          <w:szCs w:val="24"/>
        </w:rPr>
        <w:t xml:space="preserve">ignificant progress </w:t>
      </w:r>
      <w:r w:rsidRPr="008001A9">
        <w:rPr>
          <w:rFonts w:ascii="Arial" w:hAnsi="Arial" w:cs="Arial"/>
          <w:szCs w:val="24"/>
        </w:rPr>
        <w:t xml:space="preserve">on embedding a living wage standard in supply chain systems is observable and </w:t>
      </w:r>
      <w:r w:rsidR="004B6344" w:rsidRPr="008001A9">
        <w:rPr>
          <w:rFonts w:ascii="Arial" w:hAnsi="Arial" w:cs="Arial"/>
          <w:szCs w:val="24"/>
        </w:rPr>
        <w:t xml:space="preserve">suggests </w:t>
      </w:r>
      <w:r w:rsidRPr="008001A9">
        <w:rPr>
          <w:rFonts w:ascii="Arial" w:hAnsi="Arial" w:cs="Arial"/>
          <w:szCs w:val="24"/>
        </w:rPr>
        <w:t xml:space="preserve">the potential for </w:t>
      </w:r>
      <w:r w:rsidR="002E10C6" w:rsidRPr="008001A9">
        <w:rPr>
          <w:rFonts w:ascii="Arial" w:hAnsi="Arial" w:cs="Arial"/>
          <w:szCs w:val="24"/>
        </w:rPr>
        <w:t xml:space="preserve">new </w:t>
      </w:r>
      <w:r w:rsidR="004B6344" w:rsidRPr="008001A9">
        <w:rPr>
          <w:rFonts w:ascii="Arial" w:hAnsi="Arial" w:cs="Arial"/>
          <w:szCs w:val="24"/>
        </w:rPr>
        <w:t xml:space="preserve">forms </w:t>
      </w:r>
      <w:r w:rsidR="002E10C6" w:rsidRPr="008001A9">
        <w:rPr>
          <w:rFonts w:ascii="Arial" w:hAnsi="Arial" w:cs="Arial"/>
          <w:szCs w:val="24"/>
        </w:rPr>
        <w:t xml:space="preserve">of </w:t>
      </w:r>
      <w:r w:rsidRPr="008001A9">
        <w:rPr>
          <w:rFonts w:ascii="Arial" w:hAnsi="Arial" w:cs="Arial"/>
          <w:szCs w:val="24"/>
        </w:rPr>
        <w:t xml:space="preserve">corporate governance to </w:t>
      </w:r>
      <w:r w:rsidR="002E10C6" w:rsidRPr="008001A9">
        <w:rPr>
          <w:rFonts w:ascii="Arial" w:hAnsi="Arial" w:cs="Arial"/>
          <w:szCs w:val="24"/>
        </w:rPr>
        <w:t>transform the status quo</w:t>
      </w:r>
      <w:r w:rsidRPr="008001A9">
        <w:rPr>
          <w:rFonts w:ascii="Arial" w:hAnsi="Arial" w:cs="Arial"/>
          <w:szCs w:val="24"/>
        </w:rPr>
        <w:t>.  A</w:t>
      </w:r>
      <w:r w:rsidR="00792D17" w:rsidRPr="008001A9">
        <w:rPr>
          <w:rFonts w:ascii="Arial" w:hAnsi="Arial" w:cs="Arial"/>
          <w:szCs w:val="24"/>
        </w:rPr>
        <w:t>t the close of 2013, supporters of a living wage are increasingly confident of breakthrough point</w:t>
      </w:r>
      <w:r w:rsidR="0045726D">
        <w:rPr>
          <w:rFonts w:ascii="Arial" w:hAnsi="Arial" w:cs="Arial"/>
          <w:szCs w:val="24"/>
        </w:rPr>
        <w:t>ing</w:t>
      </w:r>
      <w:r w:rsidR="00792D17" w:rsidRPr="008001A9">
        <w:rPr>
          <w:rFonts w:ascii="Arial" w:hAnsi="Arial" w:cs="Arial"/>
          <w:szCs w:val="24"/>
        </w:rPr>
        <w:t xml:space="preserve"> to a range of recent developments.  Corporate support for a living wage may initially have been a tactical concession to manage reputational risk but increasingly </w:t>
      </w:r>
      <w:r w:rsidR="0045726D">
        <w:rPr>
          <w:rFonts w:ascii="Arial" w:hAnsi="Arial" w:cs="Arial"/>
          <w:szCs w:val="24"/>
        </w:rPr>
        <w:t xml:space="preserve">corporations </w:t>
      </w:r>
      <w:r w:rsidR="00792D17" w:rsidRPr="008001A9">
        <w:rPr>
          <w:rFonts w:ascii="Arial" w:hAnsi="Arial" w:cs="Arial"/>
          <w:szCs w:val="24"/>
        </w:rPr>
        <w:t xml:space="preserve">are assimilating it as internal policy.  Sensitivity to social unrest is on the rise.  Recent wage </w:t>
      </w:r>
      <w:r w:rsidR="00F46AE0" w:rsidRPr="008001A9">
        <w:rPr>
          <w:rFonts w:ascii="Arial" w:hAnsi="Arial" w:cs="Arial"/>
          <w:szCs w:val="24"/>
        </w:rPr>
        <w:t xml:space="preserve">increases </w:t>
      </w:r>
      <w:r w:rsidR="00792D17" w:rsidRPr="008001A9">
        <w:rPr>
          <w:rFonts w:ascii="Arial" w:hAnsi="Arial" w:cs="Arial"/>
          <w:szCs w:val="24"/>
        </w:rPr>
        <w:t xml:space="preserve">in China, in response to internal pressures, have cascaded across Southeast Asia, with Malaysia introducing minimum wage legislation in 2012.  </w:t>
      </w:r>
      <w:r w:rsidR="00421008" w:rsidRPr="008001A9">
        <w:rPr>
          <w:rFonts w:ascii="Arial" w:hAnsi="Arial" w:cs="Arial"/>
          <w:szCs w:val="24"/>
        </w:rPr>
        <w:t>Big p</w:t>
      </w:r>
      <w:r w:rsidR="00792D17" w:rsidRPr="008001A9">
        <w:rPr>
          <w:rFonts w:ascii="Arial" w:hAnsi="Arial" w:cs="Arial"/>
          <w:szCs w:val="24"/>
        </w:rPr>
        <w:t xml:space="preserve">urchasing companies like </w:t>
      </w:r>
      <w:r w:rsidR="00421008" w:rsidRPr="008001A9">
        <w:rPr>
          <w:rFonts w:ascii="Arial" w:hAnsi="Arial" w:cs="Arial"/>
          <w:szCs w:val="24"/>
        </w:rPr>
        <w:t xml:space="preserve">Unilever, </w:t>
      </w:r>
      <w:r w:rsidR="00792D17" w:rsidRPr="008001A9">
        <w:rPr>
          <w:rFonts w:ascii="Arial" w:hAnsi="Arial" w:cs="Arial"/>
          <w:szCs w:val="24"/>
        </w:rPr>
        <w:t xml:space="preserve">John Lewis, Marks &amp; Spencers and Intel are introducing mandatory </w:t>
      </w:r>
      <w:r w:rsidR="00792D17" w:rsidRPr="008001A9">
        <w:rPr>
          <w:rFonts w:ascii="Arial" w:hAnsi="Arial" w:cs="Arial"/>
          <w:szCs w:val="24"/>
        </w:rPr>
        <w:lastRenderedPageBreak/>
        <w:t xml:space="preserve">reporting on a range of social and environmental </w:t>
      </w:r>
      <w:r w:rsidR="00893611" w:rsidRPr="008001A9">
        <w:rPr>
          <w:rFonts w:ascii="Arial" w:hAnsi="Arial" w:cs="Arial"/>
          <w:szCs w:val="24"/>
        </w:rPr>
        <w:t xml:space="preserve">metrics </w:t>
      </w:r>
      <w:r w:rsidR="00792D17" w:rsidRPr="008001A9">
        <w:rPr>
          <w:rFonts w:ascii="Arial" w:hAnsi="Arial" w:cs="Arial"/>
          <w:szCs w:val="24"/>
        </w:rPr>
        <w:t>across their supply chains, spurred on by organisations like GRI. Finally, the UN Guiding Principles on Business and Human Rights underpins a growing global consensus on the importance of embedding human rights into domestic and international business practice.</w:t>
      </w:r>
      <w:r w:rsidR="00123F44" w:rsidRPr="008001A9">
        <w:rPr>
          <w:rFonts w:ascii="Arial" w:hAnsi="Arial" w:cs="Arial"/>
          <w:szCs w:val="24"/>
        </w:rPr>
        <w:t xml:space="preserve"> </w:t>
      </w:r>
    </w:p>
    <w:p w:rsidR="00792D17" w:rsidRPr="008001A9" w:rsidRDefault="00792D17" w:rsidP="00872B73">
      <w:pPr>
        <w:jc w:val="both"/>
        <w:rPr>
          <w:rFonts w:ascii="Arial" w:hAnsi="Arial" w:cs="Arial"/>
          <w:szCs w:val="24"/>
        </w:rPr>
      </w:pPr>
    </w:p>
    <w:p w:rsidR="00FE175D" w:rsidRPr="008001A9" w:rsidRDefault="00D27435" w:rsidP="00872B73">
      <w:pPr>
        <w:jc w:val="both"/>
        <w:rPr>
          <w:rFonts w:ascii="Arial" w:hAnsi="Arial" w:cs="Arial"/>
          <w:szCs w:val="24"/>
        </w:rPr>
      </w:pPr>
      <w:r w:rsidRPr="008001A9">
        <w:rPr>
          <w:rFonts w:ascii="Arial" w:hAnsi="Arial" w:cs="Arial"/>
          <w:szCs w:val="24"/>
        </w:rPr>
        <w:t xml:space="preserve">A general development towards embedding a living wage into business practice has been driven by multiple processes, both instrumental – shoring up such protections as a core component of a sustainable global business model </w:t>
      </w:r>
      <w:r w:rsidR="00421008" w:rsidRPr="008001A9">
        <w:rPr>
          <w:rFonts w:ascii="Arial" w:hAnsi="Arial" w:cs="Arial"/>
          <w:szCs w:val="24"/>
        </w:rPr>
        <w:t xml:space="preserve">and </w:t>
      </w:r>
      <w:r w:rsidRPr="008001A9">
        <w:rPr>
          <w:rFonts w:ascii="Arial" w:hAnsi="Arial" w:cs="Arial"/>
          <w:szCs w:val="24"/>
        </w:rPr>
        <w:t xml:space="preserve">adverse publicity generated by catastrophic failures – as well as ethical imperatives in an increasingly interconnected world of consumers, many of whom now reside in developing countries.  </w:t>
      </w:r>
    </w:p>
    <w:p w:rsidR="00FE175D" w:rsidRPr="008001A9" w:rsidRDefault="00FE175D" w:rsidP="00872B73">
      <w:pPr>
        <w:jc w:val="both"/>
        <w:rPr>
          <w:rFonts w:ascii="Arial" w:hAnsi="Arial" w:cs="Arial"/>
          <w:szCs w:val="24"/>
        </w:rPr>
      </w:pPr>
    </w:p>
    <w:p w:rsidR="007D4441" w:rsidRPr="008001A9" w:rsidRDefault="00D27435" w:rsidP="00872B73">
      <w:pPr>
        <w:jc w:val="both"/>
        <w:rPr>
          <w:rFonts w:ascii="Arial" w:hAnsi="Arial" w:cs="Arial"/>
          <w:szCs w:val="24"/>
        </w:rPr>
      </w:pPr>
      <w:r w:rsidRPr="008001A9">
        <w:rPr>
          <w:rFonts w:ascii="Arial" w:hAnsi="Arial" w:cs="Arial"/>
          <w:szCs w:val="24"/>
        </w:rPr>
        <w:t xml:space="preserve">Nevertheless, powerful countervailing forces </w:t>
      </w:r>
      <w:r w:rsidR="0012722F" w:rsidRPr="008001A9">
        <w:rPr>
          <w:rFonts w:ascii="Arial" w:hAnsi="Arial" w:cs="Arial"/>
          <w:szCs w:val="24"/>
        </w:rPr>
        <w:t xml:space="preserve">remain and </w:t>
      </w:r>
      <w:r w:rsidR="00D55050" w:rsidRPr="008001A9">
        <w:rPr>
          <w:rFonts w:ascii="Arial" w:hAnsi="Arial" w:cs="Arial"/>
          <w:szCs w:val="24"/>
        </w:rPr>
        <w:t xml:space="preserve">may impede </w:t>
      </w:r>
      <w:r w:rsidR="00FE175D" w:rsidRPr="008001A9">
        <w:rPr>
          <w:rFonts w:ascii="Arial" w:hAnsi="Arial" w:cs="Arial"/>
          <w:szCs w:val="24"/>
        </w:rPr>
        <w:t>further progress</w:t>
      </w:r>
      <w:r w:rsidRPr="008001A9">
        <w:rPr>
          <w:rFonts w:ascii="Arial" w:hAnsi="Arial" w:cs="Arial"/>
          <w:szCs w:val="24"/>
        </w:rPr>
        <w:t xml:space="preserve">.  The race to </w:t>
      </w:r>
      <w:r w:rsidR="0045726D">
        <w:rPr>
          <w:rFonts w:ascii="Arial" w:hAnsi="Arial" w:cs="Arial"/>
          <w:szCs w:val="24"/>
        </w:rPr>
        <w:t>r</w:t>
      </w:r>
      <w:r w:rsidRPr="008001A9">
        <w:rPr>
          <w:rFonts w:ascii="Arial" w:hAnsi="Arial" w:cs="Arial"/>
          <w:szCs w:val="24"/>
        </w:rPr>
        <w:t xml:space="preserve">ock </w:t>
      </w:r>
      <w:r w:rsidR="0045726D">
        <w:rPr>
          <w:rFonts w:ascii="Arial" w:hAnsi="Arial" w:cs="Arial"/>
          <w:szCs w:val="24"/>
        </w:rPr>
        <w:t>b</w:t>
      </w:r>
      <w:r w:rsidRPr="008001A9">
        <w:rPr>
          <w:rFonts w:ascii="Arial" w:hAnsi="Arial" w:cs="Arial"/>
          <w:szCs w:val="24"/>
        </w:rPr>
        <w:t xml:space="preserve">ottom </w:t>
      </w:r>
      <w:r w:rsidR="0045726D">
        <w:rPr>
          <w:rFonts w:ascii="Arial" w:hAnsi="Arial" w:cs="Arial"/>
          <w:szCs w:val="24"/>
        </w:rPr>
        <w:t>prices</w:t>
      </w:r>
      <w:r w:rsidRPr="008001A9">
        <w:rPr>
          <w:rFonts w:ascii="Arial" w:hAnsi="Arial" w:cs="Arial"/>
          <w:szCs w:val="24"/>
        </w:rPr>
        <w:t xml:space="preserve"> in retailing, driven by consumer demand for ever cheaper products, provides little spending margin for corporate social responsibility innovation in the apparel industry.  </w:t>
      </w:r>
      <w:r w:rsidR="009008F3" w:rsidRPr="008001A9">
        <w:rPr>
          <w:rFonts w:ascii="Arial" w:hAnsi="Arial" w:cs="Arial"/>
          <w:szCs w:val="24"/>
        </w:rPr>
        <w:t xml:space="preserve">The business case for a living wage is not necessarily self-evident.  </w:t>
      </w:r>
      <w:r w:rsidR="009C6717" w:rsidRPr="008001A9">
        <w:rPr>
          <w:rFonts w:ascii="Arial" w:hAnsi="Arial" w:cs="Arial"/>
          <w:szCs w:val="24"/>
        </w:rPr>
        <w:t>W</w:t>
      </w:r>
      <w:r w:rsidRPr="008001A9">
        <w:rPr>
          <w:rFonts w:ascii="Arial" w:hAnsi="Arial" w:cs="Arial"/>
          <w:szCs w:val="24"/>
        </w:rPr>
        <w:t xml:space="preserve">eak links in the chain may mean that </w:t>
      </w:r>
      <w:r w:rsidR="00170735" w:rsidRPr="008001A9">
        <w:rPr>
          <w:rFonts w:ascii="Arial" w:hAnsi="Arial" w:cs="Arial"/>
          <w:szCs w:val="24"/>
        </w:rPr>
        <w:t xml:space="preserve">investment </w:t>
      </w:r>
      <w:r w:rsidRPr="008001A9">
        <w:rPr>
          <w:rFonts w:ascii="Arial" w:hAnsi="Arial" w:cs="Arial"/>
          <w:szCs w:val="24"/>
        </w:rPr>
        <w:t xml:space="preserve">intended </w:t>
      </w:r>
      <w:r w:rsidR="00170735" w:rsidRPr="008001A9">
        <w:rPr>
          <w:rFonts w:ascii="Arial" w:hAnsi="Arial" w:cs="Arial"/>
          <w:szCs w:val="24"/>
        </w:rPr>
        <w:t xml:space="preserve">for </w:t>
      </w:r>
      <w:r w:rsidRPr="008001A9">
        <w:rPr>
          <w:rFonts w:ascii="Arial" w:hAnsi="Arial" w:cs="Arial"/>
          <w:szCs w:val="24"/>
        </w:rPr>
        <w:t xml:space="preserve">local </w:t>
      </w:r>
      <w:r w:rsidR="009008F3" w:rsidRPr="008001A9">
        <w:rPr>
          <w:rFonts w:ascii="Arial" w:hAnsi="Arial" w:cs="Arial"/>
          <w:szCs w:val="24"/>
        </w:rPr>
        <w:t xml:space="preserve">workers </w:t>
      </w:r>
      <w:r w:rsidRPr="008001A9">
        <w:rPr>
          <w:rFonts w:ascii="Arial" w:hAnsi="Arial" w:cs="Arial"/>
          <w:szCs w:val="24"/>
        </w:rPr>
        <w:t>do</w:t>
      </w:r>
      <w:r w:rsidR="0045726D">
        <w:rPr>
          <w:rFonts w:ascii="Arial" w:hAnsi="Arial" w:cs="Arial"/>
          <w:szCs w:val="24"/>
        </w:rPr>
        <w:t>es</w:t>
      </w:r>
      <w:r w:rsidRPr="008001A9">
        <w:rPr>
          <w:rFonts w:ascii="Arial" w:hAnsi="Arial" w:cs="Arial"/>
          <w:szCs w:val="24"/>
        </w:rPr>
        <w:t xml:space="preserve"> not reach </w:t>
      </w:r>
      <w:r w:rsidR="0045726D">
        <w:rPr>
          <w:rFonts w:ascii="Arial" w:hAnsi="Arial" w:cs="Arial"/>
          <w:szCs w:val="24"/>
        </w:rPr>
        <w:t xml:space="preserve">its </w:t>
      </w:r>
      <w:r w:rsidRPr="008001A9">
        <w:rPr>
          <w:rFonts w:ascii="Arial" w:hAnsi="Arial" w:cs="Arial"/>
          <w:szCs w:val="24"/>
        </w:rPr>
        <w:t xml:space="preserve">intended recipients.  </w:t>
      </w:r>
      <w:r w:rsidR="0043197E" w:rsidRPr="008001A9">
        <w:rPr>
          <w:rFonts w:ascii="Arial" w:hAnsi="Arial" w:cs="Arial"/>
          <w:szCs w:val="24"/>
        </w:rPr>
        <w:t>Audits remain blunt tools for evaluating compliance</w:t>
      </w:r>
      <w:r w:rsidR="0084632F" w:rsidRPr="008001A9">
        <w:rPr>
          <w:rFonts w:ascii="Arial" w:hAnsi="Arial" w:cs="Arial"/>
          <w:szCs w:val="24"/>
        </w:rPr>
        <w:t xml:space="preserve"> and may serve to diminish the importance attached to collective bargaining</w:t>
      </w:r>
      <w:r w:rsidR="0043197E" w:rsidRPr="008001A9">
        <w:rPr>
          <w:rFonts w:ascii="Arial" w:hAnsi="Arial" w:cs="Arial"/>
          <w:szCs w:val="24"/>
        </w:rPr>
        <w:t xml:space="preserve">. </w:t>
      </w:r>
      <w:r w:rsidR="009C6717" w:rsidRPr="008001A9">
        <w:rPr>
          <w:rFonts w:ascii="Arial" w:hAnsi="Arial" w:cs="Arial"/>
          <w:szCs w:val="24"/>
        </w:rPr>
        <w:t xml:space="preserve"> </w:t>
      </w:r>
      <w:r w:rsidR="0043197E" w:rsidRPr="008001A9">
        <w:rPr>
          <w:rFonts w:ascii="Arial" w:hAnsi="Arial" w:cs="Arial"/>
          <w:szCs w:val="24"/>
        </w:rPr>
        <w:t xml:space="preserve">Other </w:t>
      </w:r>
      <w:r w:rsidR="00EB07B1" w:rsidRPr="008001A9">
        <w:rPr>
          <w:rFonts w:ascii="Arial" w:hAnsi="Arial" w:cs="Arial"/>
          <w:szCs w:val="24"/>
        </w:rPr>
        <w:t>dilemmas also persist</w:t>
      </w:r>
      <w:r w:rsidR="00F40EB1" w:rsidRPr="008001A9">
        <w:rPr>
          <w:rFonts w:ascii="Arial" w:hAnsi="Arial" w:cs="Arial"/>
          <w:szCs w:val="24"/>
        </w:rPr>
        <w:t xml:space="preserve">, including where </w:t>
      </w:r>
      <w:r w:rsidR="009008F3" w:rsidRPr="008001A9">
        <w:rPr>
          <w:rFonts w:ascii="Arial" w:hAnsi="Arial" w:cs="Arial"/>
          <w:szCs w:val="24"/>
        </w:rPr>
        <w:t xml:space="preserve">primary </w:t>
      </w:r>
      <w:r w:rsidRPr="008001A9">
        <w:rPr>
          <w:rFonts w:ascii="Arial" w:hAnsi="Arial" w:cs="Arial"/>
          <w:szCs w:val="24"/>
        </w:rPr>
        <w:t xml:space="preserve">responsibility </w:t>
      </w:r>
      <w:r w:rsidR="00F40EB1" w:rsidRPr="008001A9">
        <w:rPr>
          <w:rFonts w:ascii="Arial" w:hAnsi="Arial" w:cs="Arial"/>
          <w:szCs w:val="24"/>
        </w:rPr>
        <w:t xml:space="preserve">should fall </w:t>
      </w:r>
      <w:r w:rsidRPr="008001A9">
        <w:rPr>
          <w:rFonts w:ascii="Arial" w:hAnsi="Arial" w:cs="Arial"/>
          <w:szCs w:val="24"/>
        </w:rPr>
        <w:t xml:space="preserve">for providing a living wage, the dangers of unfair cost-shifting to </w:t>
      </w:r>
      <w:r w:rsidR="002008CC" w:rsidRPr="008001A9">
        <w:rPr>
          <w:rFonts w:ascii="Arial" w:hAnsi="Arial" w:cs="Arial"/>
          <w:szCs w:val="24"/>
        </w:rPr>
        <w:t>suppliers</w:t>
      </w:r>
      <w:r w:rsidR="009008F3" w:rsidRPr="008001A9">
        <w:rPr>
          <w:rFonts w:ascii="Arial" w:hAnsi="Arial" w:cs="Arial"/>
          <w:szCs w:val="24"/>
        </w:rPr>
        <w:t>,</w:t>
      </w:r>
      <w:r w:rsidRPr="008001A9">
        <w:rPr>
          <w:rFonts w:ascii="Arial" w:hAnsi="Arial" w:cs="Arial"/>
          <w:szCs w:val="24"/>
        </w:rPr>
        <w:t xml:space="preserve"> and what global corporations </w:t>
      </w:r>
      <w:r w:rsidR="00F40EB1" w:rsidRPr="008001A9">
        <w:rPr>
          <w:rFonts w:ascii="Arial" w:hAnsi="Arial" w:cs="Arial"/>
          <w:szCs w:val="24"/>
        </w:rPr>
        <w:t xml:space="preserve">can </w:t>
      </w:r>
      <w:r w:rsidRPr="008001A9">
        <w:rPr>
          <w:rFonts w:ascii="Arial" w:hAnsi="Arial" w:cs="Arial"/>
          <w:szCs w:val="24"/>
        </w:rPr>
        <w:t xml:space="preserve">do when local authorities fail to </w:t>
      </w:r>
      <w:r w:rsidR="00EB07B1" w:rsidRPr="008001A9">
        <w:rPr>
          <w:rFonts w:ascii="Arial" w:hAnsi="Arial" w:cs="Arial"/>
          <w:szCs w:val="24"/>
        </w:rPr>
        <w:t>enforce regulation</w:t>
      </w:r>
      <w:r w:rsidRPr="008001A9">
        <w:rPr>
          <w:rFonts w:ascii="Arial" w:hAnsi="Arial" w:cs="Arial"/>
          <w:szCs w:val="24"/>
        </w:rPr>
        <w:t>.</w:t>
      </w:r>
    </w:p>
    <w:p w:rsidR="007D4441" w:rsidRPr="008001A9" w:rsidRDefault="007D4441" w:rsidP="00872B73">
      <w:pPr>
        <w:jc w:val="both"/>
        <w:rPr>
          <w:rFonts w:ascii="Arial" w:hAnsi="Arial" w:cs="Arial"/>
          <w:szCs w:val="24"/>
        </w:rPr>
      </w:pPr>
    </w:p>
    <w:p w:rsidR="00490FF9" w:rsidRPr="008001A9" w:rsidRDefault="00490FF9" w:rsidP="00872B73">
      <w:pPr>
        <w:jc w:val="both"/>
        <w:rPr>
          <w:rFonts w:ascii="Arial" w:hAnsi="Arial" w:cs="Arial"/>
          <w:szCs w:val="24"/>
        </w:rPr>
      </w:pPr>
      <w:r w:rsidRPr="008001A9">
        <w:rPr>
          <w:rFonts w:ascii="Arial" w:hAnsi="Arial" w:cs="Arial"/>
          <w:szCs w:val="24"/>
        </w:rPr>
        <w:t xml:space="preserve">At root, </w:t>
      </w:r>
      <w:r w:rsidR="007D4441" w:rsidRPr="008001A9">
        <w:rPr>
          <w:rFonts w:ascii="Arial" w:hAnsi="Arial" w:cs="Arial"/>
          <w:szCs w:val="24"/>
        </w:rPr>
        <w:t>t</w:t>
      </w:r>
      <w:r w:rsidRPr="008001A9">
        <w:rPr>
          <w:rFonts w:ascii="Arial" w:hAnsi="Arial" w:cs="Arial"/>
          <w:szCs w:val="24"/>
        </w:rPr>
        <w:t>he combination of deepening interdependence and a governance vacuum at the global level poses significant challenge</w:t>
      </w:r>
      <w:r w:rsidR="00421008" w:rsidRPr="008001A9">
        <w:rPr>
          <w:rFonts w:ascii="Arial" w:hAnsi="Arial" w:cs="Arial"/>
          <w:szCs w:val="24"/>
        </w:rPr>
        <w:t>s</w:t>
      </w:r>
      <w:r w:rsidRPr="008001A9">
        <w:rPr>
          <w:rFonts w:ascii="Arial" w:hAnsi="Arial" w:cs="Arial"/>
          <w:szCs w:val="24"/>
        </w:rPr>
        <w:t xml:space="preserve"> (and potential dangers).  A number of core governance </w:t>
      </w:r>
      <w:r w:rsidR="00421008" w:rsidRPr="008001A9">
        <w:rPr>
          <w:rFonts w:ascii="Arial" w:hAnsi="Arial" w:cs="Arial"/>
          <w:szCs w:val="24"/>
        </w:rPr>
        <w:t xml:space="preserve">concerns </w:t>
      </w:r>
      <w:r w:rsidRPr="008001A9">
        <w:rPr>
          <w:rFonts w:ascii="Arial" w:hAnsi="Arial" w:cs="Arial"/>
          <w:szCs w:val="24"/>
        </w:rPr>
        <w:t>can be identified:</w:t>
      </w:r>
    </w:p>
    <w:p w:rsidR="00490FF9" w:rsidRPr="008001A9" w:rsidRDefault="00490FF9" w:rsidP="00872B73">
      <w:pPr>
        <w:jc w:val="both"/>
        <w:rPr>
          <w:rFonts w:ascii="Arial" w:hAnsi="Arial" w:cs="Arial"/>
          <w:szCs w:val="24"/>
        </w:rPr>
      </w:pPr>
    </w:p>
    <w:p w:rsidR="00490FF9" w:rsidRPr="008001A9" w:rsidRDefault="00490FF9" w:rsidP="00872B73">
      <w:pPr>
        <w:pStyle w:val="ListParagraph"/>
        <w:numPr>
          <w:ilvl w:val="0"/>
          <w:numId w:val="4"/>
        </w:numPr>
        <w:jc w:val="both"/>
        <w:rPr>
          <w:rFonts w:ascii="Arial" w:hAnsi="Arial" w:cs="Arial"/>
          <w:szCs w:val="24"/>
        </w:rPr>
      </w:pPr>
      <w:r w:rsidRPr="008001A9">
        <w:rPr>
          <w:rFonts w:ascii="Arial" w:hAnsi="Arial" w:cs="Arial"/>
          <w:i/>
          <w:szCs w:val="24"/>
        </w:rPr>
        <w:t>Coordination and collective action</w:t>
      </w:r>
      <w:r w:rsidR="00FF3967" w:rsidRPr="008001A9">
        <w:rPr>
          <w:rFonts w:ascii="Arial" w:hAnsi="Arial" w:cs="Arial"/>
          <w:i/>
          <w:szCs w:val="24"/>
        </w:rPr>
        <w:t xml:space="preserve"> problems</w:t>
      </w:r>
      <w:r w:rsidRPr="008001A9">
        <w:rPr>
          <w:rFonts w:ascii="Arial" w:hAnsi="Arial" w:cs="Arial"/>
          <w:i/>
          <w:szCs w:val="24"/>
        </w:rPr>
        <w:t>.</w:t>
      </w:r>
      <w:r w:rsidRPr="008001A9">
        <w:rPr>
          <w:rFonts w:ascii="Arial" w:hAnsi="Arial" w:cs="Arial"/>
          <w:szCs w:val="24"/>
        </w:rPr>
        <w:t xml:space="preserve"> Asymmetric distribution of negative </w:t>
      </w:r>
      <w:r w:rsidR="00421008" w:rsidRPr="008001A9">
        <w:rPr>
          <w:rFonts w:ascii="Arial" w:hAnsi="Arial" w:cs="Arial"/>
          <w:szCs w:val="24"/>
        </w:rPr>
        <w:t>externalities and costs present</w:t>
      </w:r>
      <w:r w:rsidRPr="008001A9">
        <w:rPr>
          <w:rFonts w:ascii="Arial" w:hAnsi="Arial" w:cs="Arial"/>
          <w:szCs w:val="24"/>
        </w:rPr>
        <w:t xml:space="preserve"> very severe distribution and enforcement problems.  The risk of defection and handing advantage to a competitor provides little incentive for mutual cooperation among key actors, especially MNCs.  </w:t>
      </w:r>
      <w:r w:rsidR="00421008" w:rsidRPr="008001A9">
        <w:rPr>
          <w:rFonts w:ascii="Arial" w:hAnsi="Arial" w:cs="Arial"/>
          <w:szCs w:val="24"/>
        </w:rPr>
        <w:t>In turn</w:t>
      </w:r>
      <w:r w:rsidR="00E42E6D" w:rsidRPr="008001A9">
        <w:rPr>
          <w:rFonts w:ascii="Arial" w:hAnsi="Arial" w:cs="Arial"/>
          <w:szCs w:val="24"/>
        </w:rPr>
        <w:t>, while developing country governments may be sympathetic to a living wage policy, at</w:t>
      </w:r>
      <w:r w:rsidR="00421008" w:rsidRPr="008001A9">
        <w:rPr>
          <w:rFonts w:ascii="Arial" w:hAnsi="Arial" w:cs="Arial"/>
          <w:szCs w:val="24"/>
        </w:rPr>
        <w:t>tracting FDI may take priority.</w:t>
      </w:r>
    </w:p>
    <w:p w:rsidR="00490FF9" w:rsidRPr="008001A9" w:rsidRDefault="00490FF9" w:rsidP="00872B73">
      <w:pPr>
        <w:ind w:left="360"/>
        <w:jc w:val="both"/>
        <w:rPr>
          <w:rFonts w:ascii="Arial" w:hAnsi="Arial" w:cs="Arial"/>
          <w:szCs w:val="24"/>
        </w:rPr>
      </w:pPr>
    </w:p>
    <w:p w:rsidR="00F0299E" w:rsidRPr="008001A9" w:rsidRDefault="00B853FF" w:rsidP="00872B73">
      <w:pPr>
        <w:pStyle w:val="ListParagraph"/>
        <w:numPr>
          <w:ilvl w:val="0"/>
          <w:numId w:val="4"/>
        </w:numPr>
        <w:jc w:val="both"/>
        <w:rPr>
          <w:rFonts w:ascii="Arial" w:hAnsi="Arial" w:cs="Arial"/>
          <w:szCs w:val="24"/>
        </w:rPr>
      </w:pPr>
      <w:r w:rsidRPr="008001A9">
        <w:rPr>
          <w:rFonts w:ascii="Arial" w:hAnsi="Arial" w:cs="Arial"/>
          <w:i/>
          <w:szCs w:val="24"/>
        </w:rPr>
        <w:t xml:space="preserve">Regime complexity.  </w:t>
      </w:r>
      <w:r w:rsidRPr="008001A9">
        <w:rPr>
          <w:rFonts w:ascii="Arial" w:hAnsi="Arial" w:cs="Arial"/>
          <w:szCs w:val="24"/>
        </w:rPr>
        <w:t xml:space="preserve">Multiple overlapping public and private domains of governance dilutes efforts towards coordination.  The proliferation of competing forums and service providers provides a range of choices to governments and MNCs in addressing the issue of wages.  </w:t>
      </w:r>
      <w:r w:rsidR="00421008" w:rsidRPr="008001A9">
        <w:rPr>
          <w:rFonts w:ascii="Arial" w:hAnsi="Arial" w:cs="Arial"/>
          <w:szCs w:val="24"/>
        </w:rPr>
        <w:t xml:space="preserve">Actors </w:t>
      </w:r>
      <w:r w:rsidRPr="008001A9">
        <w:rPr>
          <w:rFonts w:ascii="Arial" w:hAnsi="Arial" w:cs="Arial"/>
          <w:szCs w:val="24"/>
        </w:rPr>
        <w:t xml:space="preserve">can engage in forum-shopping and </w:t>
      </w:r>
      <w:r w:rsidR="00FF3967" w:rsidRPr="008001A9">
        <w:rPr>
          <w:rFonts w:ascii="Arial" w:hAnsi="Arial" w:cs="Arial"/>
          <w:szCs w:val="24"/>
        </w:rPr>
        <w:t xml:space="preserve">choose to abide by </w:t>
      </w:r>
      <w:r w:rsidRPr="008001A9">
        <w:rPr>
          <w:rFonts w:ascii="Arial" w:hAnsi="Arial" w:cs="Arial"/>
          <w:szCs w:val="24"/>
        </w:rPr>
        <w:t xml:space="preserve">regulatory frameworks which may offer broader scope and discretion over liability, baselines regulatory standards, and </w:t>
      </w:r>
      <w:r w:rsidR="00FF3967" w:rsidRPr="008001A9">
        <w:rPr>
          <w:rFonts w:ascii="Arial" w:hAnsi="Arial" w:cs="Arial"/>
          <w:szCs w:val="24"/>
        </w:rPr>
        <w:t xml:space="preserve">attribution of </w:t>
      </w:r>
      <w:r w:rsidRPr="008001A9">
        <w:rPr>
          <w:rFonts w:ascii="Arial" w:hAnsi="Arial" w:cs="Arial"/>
          <w:szCs w:val="24"/>
        </w:rPr>
        <w:t>responsibility.</w:t>
      </w:r>
    </w:p>
    <w:p w:rsidR="00B853FF" w:rsidRPr="008001A9" w:rsidRDefault="00B853FF" w:rsidP="00872B73">
      <w:pPr>
        <w:pStyle w:val="ListParagraph"/>
        <w:rPr>
          <w:rFonts w:ascii="Arial" w:hAnsi="Arial" w:cs="Arial"/>
          <w:szCs w:val="24"/>
        </w:rPr>
      </w:pPr>
    </w:p>
    <w:p w:rsidR="00B853FF" w:rsidRPr="008001A9" w:rsidRDefault="00115212" w:rsidP="00872B73">
      <w:pPr>
        <w:pStyle w:val="ListParagraph"/>
        <w:numPr>
          <w:ilvl w:val="0"/>
          <w:numId w:val="4"/>
        </w:numPr>
        <w:jc w:val="both"/>
        <w:rPr>
          <w:rFonts w:ascii="Arial" w:hAnsi="Arial" w:cs="Arial"/>
          <w:szCs w:val="24"/>
        </w:rPr>
      </w:pPr>
      <w:r w:rsidRPr="008001A9">
        <w:rPr>
          <w:rFonts w:ascii="Arial" w:hAnsi="Arial" w:cs="Arial"/>
          <w:i/>
          <w:szCs w:val="24"/>
        </w:rPr>
        <w:t>Lines of accountability and control.</w:t>
      </w:r>
      <w:r w:rsidRPr="008001A9">
        <w:rPr>
          <w:rFonts w:ascii="Arial" w:hAnsi="Arial" w:cs="Arial"/>
          <w:szCs w:val="24"/>
        </w:rPr>
        <w:t xml:space="preserve"> </w:t>
      </w:r>
      <w:r w:rsidR="00641A1D" w:rsidRPr="008001A9">
        <w:rPr>
          <w:rFonts w:ascii="Arial" w:hAnsi="Arial" w:cs="Arial"/>
          <w:szCs w:val="24"/>
        </w:rPr>
        <w:t xml:space="preserve">Supply chains operate at multiple scales and levels with employees located at </w:t>
      </w:r>
      <w:r w:rsidR="00421008" w:rsidRPr="008001A9">
        <w:rPr>
          <w:rFonts w:ascii="Arial" w:hAnsi="Arial" w:cs="Arial"/>
          <w:szCs w:val="24"/>
        </w:rPr>
        <w:t xml:space="preserve">all </w:t>
      </w:r>
      <w:r w:rsidR="00641A1D" w:rsidRPr="008001A9">
        <w:rPr>
          <w:rFonts w:ascii="Arial" w:hAnsi="Arial" w:cs="Arial"/>
          <w:szCs w:val="24"/>
        </w:rPr>
        <w:t>level</w:t>
      </w:r>
      <w:r w:rsidR="00421008" w:rsidRPr="008001A9">
        <w:rPr>
          <w:rFonts w:ascii="Arial" w:hAnsi="Arial" w:cs="Arial"/>
          <w:szCs w:val="24"/>
        </w:rPr>
        <w:t>s,</w:t>
      </w:r>
      <w:r w:rsidR="00641A1D" w:rsidRPr="008001A9">
        <w:rPr>
          <w:rFonts w:ascii="Arial" w:hAnsi="Arial" w:cs="Arial"/>
          <w:szCs w:val="24"/>
        </w:rPr>
        <w:t xml:space="preserve"> both vertically and laterally through third parties and sub-contractors.  Violations generally occur at the local level </w:t>
      </w:r>
      <w:r w:rsidR="00421008" w:rsidRPr="008001A9">
        <w:rPr>
          <w:rFonts w:ascii="Arial" w:hAnsi="Arial" w:cs="Arial"/>
          <w:szCs w:val="24"/>
        </w:rPr>
        <w:t xml:space="preserve">and </w:t>
      </w:r>
      <w:r w:rsidR="00641A1D" w:rsidRPr="008001A9">
        <w:rPr>
          <w:rFonts w:ascii="Arial" w:hAnsi="Arial" w:cs="Arial"/>
          <w:szCs w:val="24"/>
        </w:rPr>
        <w:t xml:space="preserve">local authorities </w:t>
      </w:r>
      <w:r w:rsidR="00421008" w:rsidRPr="008001A9">
        <w:rPr>
          <w:rFonts w:ascii="Arial" w:hAnsi="Arial" w:cs="Arial"/>
          <w:szCs w:val="24"/>
        </w:rPr>
        <w:t xml:space="preserve">may be unwilling or unable to </w:t>
      </w:r>
      <w:r w:rsidR="00641A1D" w:rsidRPr="008001A9">
        <w:rPr>
          <w:rFonts w:ascii="Arial" w:hAnsi="Arial" w:cs="Arial"/>
          <w:szCs w:val="24"/>
        </w:rPr>
        <w:t xml:space="preserve">take </w:t>
      </w:r>
      <w:r w:rsidR="00421008" w:rsidRPr="008001A9">
        <w:rPr>
          <w:rFonts w:ascii="Arial" w:hAnsi="Arial" w:cs="Arial"/>
          <w:szCs w:val="24"/>
        </w:rPr>
        <w:t xml:space="preserve">enforcement </w:t>
      </w:r>
      <w:r w:rsidR="00641A1D" w:rsidRPr="008001A9">
        <w:rPr>
          <w:rFonts w:ascii="Arial" w:hAnsi="Arial" w:cs="Arial"/>
          <w:szCs w:val="24"/>
        </w:rPr>
        <w:t xml:space="preserve">action.  The role of intermediaries such as CSOs </w:t>
      </w:r>
      <w:r w:rsidR="00421008" w:rsidRPr="008001A9">
        <w:rPr>
          <w:rFonts w:ascii="Arial" w:hAnsi="Arial" w:cs="Arial"/>
          <w:szCs w:val="24"/>
        </w:rPr>
        <w:t xml:space="preserve">and Unions may be </w:t>
      </w:r>
      <w:r w:rsidR="00641A1D" w:rsidRPr="008001A9">
        <w:rPr>
          <w:rFonts w:ascii="Arial" w:hAnsi="Arial" w:cs="Arial"/>
          <w:szCs w:val="24"/>
        </w:rPr>
        <w:t>crucial here</w:t>
      </w:r>
      <w:r w:rsidR="00421008" w:rsidRPr="008001A9">
        <w:rPr>
          <w:rFonts w:ascii="Arial" w:hAnsi="Arial" w:cs="Arial"/>
          <w:szCs w:val="24"/>
        </w:rPr>
        <w:t>,</w:t>
      </w:r>
      <w:r w:rsidR="00641A1D" w:rsidRPr="008001A9">
        <w:rPr>
          <w:rFonts w:ascii="Arial" w:hAnsi="Arial" w:cs="Arial"/>
          <w:szCs w:val="24"/>
        </w:rPr>
        <w:t xml:space="preserve"> offering a channel for information upwards (to investors for instance) and downwards.  In the absence of stable, routinised and </w:t>
      </w:r>
      <w:r w:rsidR="00641A1D" w:rsidRPr="008001A9">
        <w:rPr>
          <w:rFonts w:ascii="Arial" w:hAnsi="Arial" w:cs="Arial"/>
          <w:szCs w:val="24"/>
        </w:rPr>
        <w:lastRenderedPageBreak/>
        <w:t xml:space="preserve">credible rule of law frameworks, sector informality, rent-seeking and corrupt practices may </w:t>
      </w:r>
      <w:r w:rsidR="00421008" w:rsidRPr="008001A9">
        <w:rPr>
          <w:rFonts w:ascii="Arial" w:hAnsi="Arial" w:cs="Arial"/>
          <w:szCs w:val="24"/>
        </w:rPr>
        <w:t xml:space="preserve">further </w:t>
      </w:r>
      <w:r w:rsidR="00641A1D" w:rsidRPr="008001A9">
        <w:rPr>
          <w:rFonts w:ascii="Arial" w:hAnsi="Arial" w:cs="Arial"/>
          <w:szCs w:val="24"/>
        </w:rPr>
        <w:t>undermine decentralised action.</w:t>
      </w:r>
    </w:p>
    <w:p w:rsidR="00641A1D" w:rsidRPr="008001A9" w:rsidRDefault="00641A1D" w:rsidP="00872B73">
      <w:pPr>
        <w:jc w:val="both"/>
        <w:rPr>
          <w:rFonts w:ascii="Arial" w:hAnsi="Arial" w:cs="Arial"/>
          <w:szCs w:val="24"/>
        </w:rPr>
      </w:pPr>
    </w:p>
    <w:p w:rsidR="00F01E50" w:rsidRPr="008001A9" w:rsidRDefault="00641A1D" w:rsidP="00872B73">
      <w:pPr>
        <w:pStyle w:val="ListParagraph"/>
        <w:numPr>
          <w:ilvl w:val="0"/>
          <w:numId w:val="4"/>
        </w:numPr>
        <w:jc w:val="both"/>
        <w:rPr>
          <w:rFonts w:ascii="Arial" w:hAnsi="Arial" w:cs="Arial"/>
          <w:szCs w:val="24"/>
        </w:rPr>
      </w:pPr>
      <w:r w:rsidRPr="008001A9">
        <w:rPr>
          <w:rFonts w:ascii="Arial" w:hAnsi="Arial" w:cs="Arial"/>
          <w:i/>
          <w:szCs w:val="24"/>
        </w:rPr>
        <w:t>Technical barriers.</w:t>
      </w:r>
      <w:r w:rsidRPr="008001A9">
        <w:rPr>
          <w:rFonts w:ascii="Arial" w:hAnsi="Arial" w:cs="Arial"/>
          <w:szCs w:val="24"/>
        </w:rPr>
        <w:t xml:space="preserve"> Disagreement over methodology persists, particularly with regard to variation in individual wages and productivity across workforces. </w:t>
      </w:r>
      <w:r w:rsidR="00F545FC" w:rsidRPr="008001A9">
        <w:rPr>
          <w:rFonts w:ascii="Arial" w:hAnsi="Arial" w:cs="Arial"/>
          <w:szCs w:val="24"/>
        </w:rPr>
        <w:t>Private actors often abide by code</w:t>
      </w:r>
      <w:r w:rsidR="00421008" w:rsidRPr="008001A9">
        <w:rPr>
          <w:rFonts w:ascii="Arial" w:hAnsi="Arial" w:cs="Arial"/>
          <w:szCs w:val="24"/>
        </w:rPr>
        <w:t>s</w:t>
      </w:r>
      <w:r w:rsidR="00F545FC" w:rsidRPr="008001A9">
        <w:rPr>
          <w:rFonts w:ascii="Arial" w:hAnsi="Arial" w:cs="Arial"/>
          <w:szCs w:val="24"/>
        </w:rPr>
        <w:t xml:space="preserve"> of non-interference and commercial sensitivities which can impact on the quality and availability of data.  Data may also have perverse consequences, accelerating as opposed to mitigating a race to the bottom</w:t>
      </w:r>
      <w:r w:rsidR="001930F7" w:rsidRPr="008001A9">
        <w:rPr>
          <w:rFonts w:ascii="Arial" w:hAnsi="Arial" w:cs="Arial"/>
          <w:szCs w:val="24"/>
        </w:rPr>
        <w:t>,</w:t>
      </w:r>
      <w:r w:rsidR="00F01E50" w:rsidRPr="008001A9">
        <w:rPr>
          <w:rFonts w:ascii="Arial" w:hAnsi="Arial" w:cs="Arial"/>
          <w:szCs w:val="24"/>
        </w:rPr>
        <w:t xml:space="preserve"> if profit incentives override ethical policy</w:t>
      </w:r>
      <w:r w:rsidR="00F545FC" w:rsidRPr="008001A9">
        <w:rPr>
          <w:rFonts w:ascii="Arial" w:hAnsi="Arial" w:cs="Arial"/>
          <w:szCs w:val="24"/>
        </w:rPr>
        <w:t>.</w:t>
      </w:r>
      <w:r w:rsidR="00F01E50" w:rsidRPr="008001A9">
        <w:rPr>
          <w:rFonts w:ascii="Arial" w:hAnsi="Arial" w:cs="Arial"/>
          <w:szCs w:val="24"/>
        </w:rPr>
        <w:t xml:space="preserve"> Action may have other unintended consequences, for instance promoting a living wage at the expense of other less visible contractual benefits.</w:t>
      </w:r>
    </w:p>
    <w:p w:rsidR="003B47C8" w:rsidRPr="008001A9" w:rsidRDefault="00F01E50" w:rsidP="00872B73">
      <w:pPr>
        <w:jc w:val="both"/>
        <w:rPr>
          <w:rFonts w:ascii="Arial" w:hAnsi="Arial" w:cs="Arial"/>
          <w:szCs w:val="24"/>
        </w:rPr>
      </w:pPr>
      <w:r w:rsidRPr="008001A9">
        <w:rPr>
          <w:rFonts w:ascii="Arial" w:hAnsi="Arial" w:cs="Arial"/>
          <w:szCs w:val="24"/>
        </w:rPr>
        <w:t xml:space="preserve"> </w:t>
      </w:r>
    </w:p>
    <w:p w:rsidR="00431AF4" w:rsidRPr="008001A9" w:rsidRDefault="00431AF4" w:rsidP="00872B73">
      <w:pPr>
        <w:jc w:val="both"/>
        <w:rPr>
          <w:rFonts w:ascii="Arial" w:hAnsi="Arial" w:cs="Arial"/>
          <w:b/>
          <w:szCs w:val="24"/>
        </w:rPr>
      </w:pPr>
      <w:r w:rsidRPr="008001A9">
        <w:rPr>
          <w:rFonts w:ascii="Arial" w:hAnsi="Arial" w:cs="Arial"/>
          <w:b/>
          <w:szCs w:val="24"/>
        </w:rPr>
        <w:t>Format of the event</w:t>
      </w:r>
    </w:p>
    <w:p w:rsidR="00431AF4" w:rsidRPr="008001A9" w:rsidRDefault="00431AF4" w:rsidP="00872B73">
      <w:pPr>
        <w:jc w:val="both"/>
        <w:rPr>
          <w:rFonts w:ascii="Arial" w:hAnsi="Arial" w:cs="Arial"/>
          <w:szCs w:val="24"/>
        </w:rPr>
      </w:pPr>
    </w:p>
    <w:p w:rsidR="00431AF4" w:rsidRPr="008001A9" w:rsidRDefault="003B47C8" w:rsidP="00872B73">
      <w:pPr>
        <w:jc w:val="both"/>
        <w:rPr>
          <w:rFonts w:ascii="Arial" w:hAnsi="Arial" w:cs="Arial"/>
          <w:szCs w:val="24"/>
        </w:rPr>
      </w:pPr>
      <w:r w:rsidRPr="008001A9">
        <w:rPr>
          <w:rFonts w:ascii="Arial" w:hAnsi="Arial" w:cs="Arial"/>
          <w:szCs w:val="24"/>
        </w:rPr>
        <w:t xml:space="preserve">This event will survey a rapidly evolving global policy domain and highlight some of the key questions likely to feature prominently in </w:t>
      </w:r>
      <w:r w:rsidR="00B92895" w:rsidRPr="008001A9">
        <w:rPr>
          <w:rFonts w:ascii="Arial" w:hAnsi="Arial" w:cs="Arial"/>
          <w:szCs w:val="24"/>
        </w:rPr>
        <w:t xml:space="preserve">any </w:t>
      </w:r>
      <w:r w:rsidR="001930F7" w:rsidRPr="008001A9">
        <w:rPr>
          <w:rFonts w:ascii="Arial" w:hAnsi="Arial" w:cs="Arial"/>
          <w:szCs w:val="24"/>
        </w:rPr>
        <w:t xml:space="preserve">concerted </w:t>
      </w:r>
      <w:r w:rsidR="00B92895" w:rsidRPr="008001A9">
        <w:rPr>
          <w:rFonts w:ascii="Arial" w:hAnsi="Arial" w:cs="Arial"/>
          <w:szCs w:val="24"/>
        </w:rPr>
        <w:t xml:space="preserve">effort </w:t>
      </w:r>
      <w:r w:rsidR="00431AF4" w:rsidRPr="008001A9">
        <w:rPr>
          <w:rFonts w:ascii="Arial" w:hAnsi="Arial" w:cs="Arial"/>
          <w:szCs w:val="24"/>
        </w:rPr>
        <w:t>to establish</w:t>
      </w:r>
      <w:r w:rsidR="00DD295F" w:rsidRPr="008001A9">
        <w:rPr>
          <w:rFonts w:ascii="Arial" w:hAnsi="Arial" w:cs="Arial"/>
          <w:szCs w:val="24"/>
        </w:rPr>
        <w:t xml:space="preserve"> </w:t>
      </w:r>
      <w:r w:rsidRPr="008001A9">
        <w:rPr>
          <w:rFonts w:ascii="Arial" w:hAnsi="Arial" w:cs="Arial"/>
          <w:szCs w:val="24"/>
        </w:rPr>
        <w:t xml:space="preserve">a living wage in global supply chains, </w:t>
      </w:r>
      <w:r w:rsidR="00431AF4" w:rsidRPr="008001A9">
        <w:rPr>
          <w:rFonts w:ascii="Arial" w:hAnsi="Arial" w:cs="Arial"/>
          <w:szCs w:val="24"/>
        </w:rPr>
        <w:t xml:space="preserve">from the vantage point of four key governance </w:t>
      </w:r>
      <w:r w:rsidRPr="008001A9">
        <w:rPr>
          <w:rFonts w:ascii="Arial" w:hAnsi="Arial" w:cs="Arial"/>
          <w:szCs w:val="24"/>
        </w:rPr>
        <w:t>actors</w:t>
      </w:r>
      <w:r w:rsidR="00431AF4" w:rsidRPr="008001A9">
        <w:rPr>
          <w:rFonts w:ascii="Arial" w:hAnsi="Arial" w:cs="Arial"/>
          <w:szCs w:val="24"/>
        </w:rPr>
        <w:t xml:space="preserve">: </w:t>
      </w:r>
    </w:p>
    <w:p w:rsidR="00BD63EF" w:rsidRPr="008001A9" w:rsidRDefault="00BD63EF" w:rsidP="00BD63EF">
      <w:pPr>
        <w:rPr>
          <w:rFonts w:ascii="Arial" w:hAnsi="Arial" w:cs="Arial"/>
          <w:szCs w:val="24"/>
        </w:rPr>
      </w:pPr>
    </w:p>
    <w:p w:rsidR="00BD63EF" w:rsidRPr="00FE5D4A" w:rsidRDefault="00796F44" w:rsidP="002B792D">
      <w:pPr>
        <w:pStyle w:val="ListParagraph"/>
        <w:numPr>
          <w:ilvl w:val="0"/>
          <w:numId w:val="6"/>
        </w:numPr>
        <w:rPr>
          <w:rFonts w:ascii="Arial" w:hAnsi="Arial" w:cs="Arial"/>
          <w:szCs w:val="24"/>
        </w:rPr>
      </w:pPr>
      <w:r w:rsidRPr="00FE5D4A">
        <w:rPr>
          <w:rFonts w:ascii="Arial" w:hAnsi="Arial" w:cs="Arial"/>
          <w:b/>
          <w:szCs w:val="24"/>
        </w:rPr>
        <w:t xml:space="preserve">Developing supplier-country government: </w:t>
      </w:r>
      <w:r w:rsidR="00BD63EF" w:rsidRPr="00FE5D4A">
        <w:rPr>
          <w:rFonts w:ascii="Arial" w:hAnsi="Arial" w:cs="Arial"/>
          <w:szCs w:val="24"/>
        </w:rPr>
        <w:t>Prof Jeremy Moon, Nottingham University</w:t>
      </w:r>
    </w:p>
    <w:p w:rsidR="00BD63EF" w:rsidRPr="00FE5D4A" w:rsidRDefault="00796F44" w:rsidP="002B792D">
      <w:pPr>
        <w:pStyle w:val="ListParagraph"/>
        <w:numPr>
          <w:ilvl w:val="0"/>
          <w:numId w:val="6"/>
        </w:numPr>
        <w:rPr>
          <w:rFonts w:ascii="Arial" w:hAnsi="Arial" w:cs="Arial"/>
          <w:szCs w:val="24"/>
        </w:rPr>
      </w:pPr>
      <w:r w:rsidRPr="00FE5D4A">
        <w:rPr>
          <w:rFonts w:ascii="Arial" w:hAnsi="Arial" w:cs="Arial"/>
          <w:b/>
          <w:szCs w:val="24"/>
        </w:rPr>
        <w:t xml:space="preserve">Institutional investor: </w:t>
      </w:r>
      <w:r w:rsidR="00BD63EF" w:rsidRPr="00FE5D4A">
        <w:rPr>
          <w:rFonts w:ascii="Arial" w:hAnsi="Arial" w:cs="Arial"/>
          <w:szCs w:val="24"/>
        </w:rPr>
        <w:t>Dr Rory Sullivan, Ethix SRI Advisors</w:t>
      </w:r>
    </w:p>
    <w:p w:rsidR="00BD63EF" w:rsidRPr="00FE5D4A" w:rsidRDefault="00796F44" w:rsidP="002B792D">
      <w:pPr>
        <w:pStyle w:val="ListParagraph"/>
        <w:numPr>
          <w:ilvl w:val="0"/>
          <w:numId w:val="6"/>
        </w:numPr>
        <w:rPr>
          <w:rFonts w:ascii="Arial" w:hAnsi="Arial" w:cs="Arial"/>
          <w:szCs w:val="24"/>
        </w:rPr>
      </w:pPr>
      <w:r w:rsidRPr="00FE5D4A">
        <w:rPr>
          <w:rFonts w:ascii="Arial" w:hAnsi="Arial" w:cs="Arial"/>
          <w:b/>
          <w:szCs w:val="24"/>
        </w:rPr>
        <w:t xml:space="preserve">Multinational corporation: </w:t>
      </w:r>
      <w:r w:rsidR="00BD63EF" w:rsidRPr="00FE5D4A">
        <w:rPr>
          <w:rFonts w:ascii="Arial" w:hAnsi="Arial" w:cs="Arial"/>
          <w:szCs w:val="24"/>
        </w:rPr>
        <w:t>Mr Luke Wilde, Director of Twenty Fifty</w:t>
      </w:r>
    </w:p>
    <w:p w:rsidR="00BD63EF" w:rsidRPr="00FE5D4A" w:rsidRDefault="00796F44" w:rsidP="002B792D">
      <w:pPr>
        <w:pStyle w:val="ListParagraph"/>
        <w:numPr>
          <w:ilvl w:val="0"/>
          <w:numId w:val="6"/>
        </w:numPr>
        <w:rPr>
          <w:rFonts w:ascii="Arial" w:hAnsi="Arial" w:cs="Arial"/>
          <w:szCs w:val="24"/>
        </w:rPr>
      </w:pPr>
      <w:r w:rsidRPr="00FE5D4A">
        <w:rPr>
          <w:rFonts w:ascii="Arial" w:hAnsi="Arial" w:cs="Arial"/>
          <w:b/>
          <w:szCs w:val="24"/>
        </w:rPr>
        <w:t xml:space="preserve">International CSO: </w:t>
      </w:r>
      <w:r w:rsidR="00BD63EF" w:rsidRPr="00FE5D4A">
        <w:rPr>
          <w:rFonts w:ascii="Arial" w:hAnsi="Arial" w:cs="Arial"/>
          <w:szCs w:val="24"/>
        </w:rPr>
        <w:t xml:space="preserve">Ms Rachel </w:t>
      </w:r>
      <w:r w:rsidR="00B92826">
        <w:rPr>
          <w:rFonts w:ascii="Arial" w:hAnsi="Arial" w:cs="Arial"/>
          <w:szCs w:val="24"/>
        </w:rPr>
        <w:t xml:space="preserve">Wilshaw, Ethical Trade Manager, </w:t>
      </w:r>
      <w:r w:rsidR="00BD63EF" w:rsidRPr="00FE5D4A">
        <w:rPr>
          <w:rFonts w:ascii="Arial" w:hAnsi="Arial" w:cs="Arial"/>
          <w:szCs w:val="24"/>
        </w:rPr>
        <w:t>Oxfam GB</w:t>
      </w:r>
    </w:p>
    <w:p w:rsidR="00BD63EF" w:rsidRPr="008001A9" w:rsidRDefault="00BD63EF" w:rsidP="00872B73">
      <w:pPr>
        <w:jc w:val="both"/>
        <w:rPr>
          <w:rFonts w:ascii="Arial" w:hAnsi="Arial" w:cs="Arial"/>
          <w:szCs w:val="24"/>
        </w:rPr>
      </w:pPr>
    </w:p>
    <w:p w:rsidR="00B72257" w:rsidRDefault="00D9259E" w:rsidP="00872B73">
      <w:pPr>
        <w:jc w:val="both"/>
        <w:rPr>
          <w:rFonts w:ascii="Arial" w:hAnsi="Arial" w:cs="Arial"/>
          <w:szCs w:val="24"/>
        </w:rPr>
      </w:pPr>
      <w:r w:rsidRPr="008001A9">
        <w:rPr>
          <w:rFonts w:ascii="Arial" w:hAnsi="Arial" w:cs="Arial"/>
          <w:szCs w:val="24"/>
        </w:rPr>
        <w:t xml:space="preserve">Each participant will be requested to </w:t>
      </w:r>
      <w:r w:rsidR="008F13C0" w:rsidRPr="008001A9">
        <w:rPr>
          <w:rFonts w:ascii="Arial" w:hAnsi="Arial" w:cs="Arial"/>
          <w:szCs w:val="24"/>
        </w:rPr>
        <w:t xml:space="preserve">argue from their </w:t>
      </w:r>
      <w:r w:rsidR="0045726D">
        <w:rPr>
          <w:rFonts w:ascii="Arial" w:hAnsi="Arial" w:cs="Arial"/>
          <w:szCs w:val="24"/>
        </w:rPr>
        <w:t xml:space="preserve">designated </w:t>
      </w:r>
      <w:r w:rsidR="008F13C0" w:rsidRPr="008001A9">
        <w:rPr>
          <w:rFonts w:ascii="Arial" w:hAnsi="Arial" w:cs="Arial"/>
          <w:szCs w:val="24"/>
        </w:rPr>
        <w:t xml:space="preserve">perspective (i.e. that of an investor, government etc) </w:t>
      </w:r>
      <w:r w:rsidRPr="008001A9">
        <w:rPr>
          <w:rFonts w:ascii="Arial" w:hAnsi="Arial" w:cs="Arial"/>
          <w:szCs w:val="24"/>
        </w:rPr>
        <w:t xml:space="preserve">in response to </w:t>
      </w:r>
      <w:r w:rsidR="000A41A4" w:rsidRPr="008001A9">
        <w:rPr>
          <w:rFonts w:ascii="Arial" w:hAnsi="Arial" w:cs="Arial"/>
          <w:szCs w:val="24"/>
        </w:rPr>
        <w:t xml:space="preserve">the </w:t>
      </w:r>
      <w:r w:rsidRPr="008001A9">
        <w:rPr>
          <w:rFonts w:ascii="Arial" w:hAnsi="Arial" w:cs="Arial"/>
          <w:szCs w:val="24"/>
        </w:rPr>
        <w:t xml:space="preserve">core question: </w:t>
      </w:r>
      <w:r w:rsidR="000A41A4" w:rsidRPr="008001A9">
        <w:rPr>
          <w:rFonts w:ascii="Arial" w:hAnsi="Arial" w:cs="Arial"/>
          <w:szCs w:val="24"/>
        </w:rPr>
        <w:t>‘</w:t>
      </w:r>
      <w:r w:rsidR="0045726D">
        <w:rPr>
          <w:rFonts w:ascii="Arial" w:hAnsi="Arial" w:cs="Arial"/>
          <w:szCs w:val="24"/>
        </w:rPr>
        <w:t>I</w:t>
      </w:r>
      <w:r w:rsidRPr="008001A9">
        <w:rPr>
          <w:rFonts w:ascii="Arial" w:hAnsi="Arial" w:cs="Arial"/>
          <w:szCs w:val="24"/>
        </w:rPr>
        <w:t xml:space="preserve">s a living wage something </w:t>
      </w:r>
      <w:r w:rsidR="00675484">
        <w:rPr>
          <w:rFonts w:ascii="Arial" w:hAnsi="Arial" w:cs="Arial"/>
          <w:szCs w:val="24"/>
        </w:rPr>
        <w:t xml:space="preserve">business and government </w:t>
      </w:r>
      <w:r w:rsidR="005C5846">
        <w:rPr>
          <w:rFonts w:ascii="Arial" w:hAnsi="Arial" w:cs="Arial"/>
          <w:szCs w:val="24"/>
        </w:rPr>
        <w:t xml:space="preserve">can and should </w:t>
      </w:r>
      <w:r w:rsidRPr="008001A9">
        <w:rPr>
          <w:rFonts w:ascii="Arial" w:hAnsi="Arial" w:cs="Arial"/>
          <w:szCs w:val="24"/>
        </w:rPr>
        <w:t>support?</w:t>
      </w:r>
      <w:r w:rsidR="000A41A4" w:rsidRPr="008001A9">
        <w:rPr>
          <w:rFonts w:ascii="Arial" w:hAnsi="Arial" w:cs="Arial"/>
          <w:szCs w:val="24"/>
        </w:rPr>
        <w:t>’</w:t>
      </w:r>
      <w:r w:rsidR="00B72257" w:rsidRPr="008001A9">
        <w:rPr>
          <w:rFonts w:ascii="Arial" w:hAnsi="Arial" w:cs="Arial"/>
          <w:szCs w:val="24"/>
        </w:rPr>
        <w:t xml:space="preserve">  They </w:t>
      </w:r>
      <w:r w:rsidRPr="008001A9">
        <w:rPr>
          <w:rFonts w:ascii="Arial" w:hAnsi="Arial" w:cs="Arial"/>
          <w:szCs w:val="24"/>
        </w:rPr>
        <w:t>will have 10 m</w:t>
      </w:r>
      <w:r w:rsidR="008F13C0" w:rsidRPr="008001A9">
        <w:rPr>
          <w:rFonts w:ascii="Arial" w:hAnsi="Arial" w:cs="Arial"/>
          <w:szCs w:val="24"/>
        </w:rPr>
        <w:t>inutes to lay out their position, and they have been encouraged to be forthright and provocative</w:t>
      </w:r>
      <w:r w:rsidR="00B72257" w:rsidRPr="008001A9">
        <w:rPr>
          <w:rFonts w:ascii="Arial" w:hAnsi="Arial" w:cs="Arial"/>
          <w:szCs w:val="24"/>
        </w:rPr>
        <w:t xml:space="preserve">.  </w:t>
      </w:r>
      <w:r w:rsidRPr="008001A9">
        <w:rPr>
          <w:rFonts w:ascii="Arial" w:hAnsi="Arial" w:cs="Arial"/>
          <w:szCs w:val="24"/>
        </w:rPr>
        <w:t xml:space="preserve">It will be made clear to the audience that on this occasion participants are </w:t>
      </w:r>
      <w:r w:rsidR="00B72257" w:rsidRPr="008001A9">
        <w:rPr>
          <w:rFonts w:ascii="Arial" w:hAnsi="Arial" w:cs="Arial"/>
          <w:szCs w:val="24"/>
        </w:rPr>
        <w:t xml:space="preserve">being </w:t>
      </w:r>
      <w:r w:rsidRPr="008001A9">
        <w:rPr>
          <w:rFonts w:ascii="Arial" w:hAnsi="Arial" w:cs="Arial"/>
          <w:szCs w:val="24"/>
        </w:rPr>
        <w:t>requested to play a role</w:t>
      </w:r>
      <w:r w:rsidR="00B72257" w:rsidRPr="008001A9">
        <w:rPr>
          <w:rFonts w:ascii="Arial" w:hAnsi="Arial" w:cs="Arial"/>
          <w:szCs w:val="24"/>
        </w:rPr>
        <w:t xml:space="preserve">.  The panel will then </w:t>
      </w:r>
      <w:r w:rsidR="0045726D">
        <w:rPr>
          <w:rFonts w:ascii="Arial" w:hAnsi="Arial" w:cs="Arial"/>
          <w:szCs w:val="24"/>
        </w:rPr>
        <w:t>engage</w:t>
      </w:r>
      <w:r w:rsidR="00B72257" w:rsidRPr="008001A9">
        <w:rPr>
          <w:rFonts w:ascii="Arial" w:hAnsi="Arial" w:cs="Arial"/>
          <w:szCs w:val="24"/>
        </w:rPr>
        <w:t xml:space="preserve"> in a debate, led by the facilitator, </w:t>
      </w:r>
      <w:r w:rsidR="0045726D">
        <w:rPr>
          <w:rFonts w:ascii="Arial" w:hAnsi="Arial" w:cs="Arial"/>
          <w:szCs w:val="24"/>
        </w:rPr>
        <w:t xml:space="preserve">while </w:t>
      </w:r>
      <w:r w:rsidR="00B72257" w:rsidRPr="008001A9">
        <w:rPr>
          <w:rFonts w:ascii="Arial" w:hAnsi="Arial" w:cs="Arial"/>
          <w:szCs w:val="24"/>
        </w:rPr>
        <w:t xml:space="preserve">requested to stay in </w:t>
      </w:r>
      <w:r w:rsidR="00DD7348">
        <w:rPr>
          <w:rFonts w:ascii="Arial" w:hAnsi="Arial" w:cs="Arial"/>
          <w:szCs w:val="24"/>
        </w:rPr>
        <w:t>their allocated role</w:t>
      </w:r>
      <w:r w:rsidR="00B72257" w:rsidRPr="008001A9">
        <w:rPr>
          <w:rFonts w:ascii="Arial" w:hAnsi="Arial" w:cs="Arial"/>
          <w:szCs w:val="24"/>
        </w:rPr>
        <w:t xml:space="preserve">.  They </w:t>
      </w:r>
      <w:r w:rsidR="0045726D">
        <w:rPr>
          <w:rFonts w:ascii="Arial" w:hAnsi="Arial" w:cs="Arial"/>
          <w:szCs w:val="24"/>
        </w:rPr>
        <w:t xml:space="preserve">will </w:t>
      </w:r>
      <w:r w:rsidR="00B72257" w:rsidRPr="008001A9">
        <w:rPr>
          <w:rFonts w:ascii="Arial" w:hAnsi="Arial" w:cs="Arial"/>
          <w:szCs w:val="24"/>
        </w:rPr>
        <w:t xml:space="preserve">have free rein to be </w:t>
      </w:r>
      <w:r w:rsidR="000A41A4" w:rsidRPr="008001A9">
        <w:rPr>
          <w:rFonts w:ascii="Arial" w:hAnsi="Arial" w:cs="Arial"/>
          <w:szCs w:val="24"/>
        </w:rPr>
        <w:t xml:space="preserve">polemical with a view to </w:t>
      </w:r>
      <w:r w:rsidR="00B72257" w:rsidRPr="008001A9">
        <w:rPr>
          <w:rFonts w:ascii="Arial" w:hAnsi="Arial" w:cs="Arial"/>
          <w:szCs w:val="24"/>
        </w:rPr>
        <w:t>highlight</w:t>
      </w:r>
      <w:r w:rsidR="000A41A4" w:rsidRPr="008001A9">
        <w:rPr>
          <w:rFonts w:ascii="Arial" w:hAnsi="Arial" w:cs="Arial"/>
          <w:szCs w:val="24"/>
        </w:rPr>
        <w:t>ing</w:t>
      </w:r>
      <w:r w:rsidR="00B72257" w:rsidRPr="008001A9">
        <w:rPr>
          <w:rFonts w:ascii="Arial" w:hAnsi="Arial" w:cs="Arial"/>
          <w:szCs w:val="24"/>
        </w:rPr>
        <w:t xml:space="preserve"> the key faultlines in the debate.</w:t>
      </w:r>
    </w:p>
    <w:p w:rsidR="00DB6991" w:rsidRPr="008001A9" w:rsidRDefault="00DB6991" w:rsidP="00872B73">
      <w:pPr>
        <w:jc w:val="both"/>
        <w:rPr>
          <w:rFonts w:ascii="Arial" w:hAnsi="Arial" w:cs="Arial"/>
          <w:szCs w:val="24"/>
        </w:rPr>
      </w:pPr>
    </w:p>
    <w:p w:rsidR="004E7AB7" w:rsidRPr="008001A9" w:rsidRDefault="00DB6991" w:rsidP="00872B73">
      <w:pPr>
        <w:jc w:val="both"/>
        <w:rPr>
          <w:rFonts w:ascii="Arial" w:hAnsi="Arial" w:cs="Arial"/>
          <w:szCs w:val="24"/>
        </w:rPr>
      </w:pPr>
      <w:r>
        <w:rPr>
          <w:rFonts w:ascii="Arial" w:hAnsi="Arial" w:cs="Arial"/>
          <w:szCs w:val="24"/>
        </w:rPr>
      </w:r>
      <w:r>
        <w:rPr>
          <w:rFonts w:ascii="Arial" w:hAnsi="Arial" w:cs="Arial"/>
          <w:szCs w:val="24"/>
        </w:rPr>
        <w:pict>
          <v:shapetype id="_x0000_t202" coordsize="21600,21600" o:spt="202" path="m,l,21600r21600,l21600,xe">
            <v:stroke joinstyle="miter"/>
            <v:path gradientshapeok="t" o:connecttype="rect"/>
          </v:shapetype>
          <v:shape id="_x0000_s1029" type="#_x0000_t202" style="width:452pt;height:107.05pt;mso-position-horizontal-relative:char;mso-position-vertical-relative:line;mso-width-relative:margin;mso-height-relative:margin">
            <v:textbox style="mso-next-textbox:#_x0000_s1029">
              <w:txbxContent>
                <w:p w:rsidR="00DB6991" w:rsidRPr="008001A9" w:rsidRDefault="00DB6991" w:rsidP="00DB6991">
                  <w:pPr>
                    <w:jc w:val="both"/>
                    <w:rPr>
                      <w:rFonts w:ascii="Arial" w:hAnsi="Arial" w:cs="Arial"/>
                      <w:szCs w:val="24"/>
                    </w:rPr>
                  </w:pPr>
                  <w:r w:rsidRPr="008001A9">
                    <w:rPr>
                      <w:rFonts w:ascii="Arial" w:hAnsi="Arial" w:cs="Arial"/>
                      <w:szCs w:val="24"/>
                    </w:rPr>
                    <w:t xml:space="preserve">We hope the discussion will shed light on some of the key issues in debates around the ethical governance of transnational private actors.    As we survey opinion across these four key groups, are there any prospects of agreement between such diverse stakeholders?  What governance practicalities </w:t>
                  </w:r>
                  <w:r>
                    <w:rPr>
                      <w:rFonts w:ascii="Arial" w:hAnsi="Arial" w:cs="Arial"/>
                      <w:szCs w:val="24"/>
                    </w:rPr>
                    <w:t xml:space="preserve">need to </w:t>
                  </w:r>
                  <w:r w:rsidRPr="008001A9">
                    <w:rPr>
                      <w:rFonts w:ascii="Arial" w:hAnsi="Arial" w:cs="Arial"/>
                      <w:szCs w:val="24"/>
                    </w:rPr>
                    <w:t xml:space="preserve">be in place? </w:t>
                  </w:r>
                  <w:r>
                    <w:rPr>
                      <w:rFonts w:ascii="Arial" w:hAnsi="Arial" w:cs="Arial"/>
                      <w:szCs w:val="24"/>
                    </w:rPr>
                    <w:t xml:space="preserve">How will it work?  </w:t>
                  </w:r>
                  <w:r w:rsidRPr="008001A9">
                    <w:rPr>
                      <w:rFonts w:ascii="Arial" w:hAnsi="Arial" w:cs="Arial"/>
                      <w:szCs w:val="24"/>
                    </w:rPr>
                    <w:t xml:space="preserve">Is </w:t>
                  </w:r>
                  <w:r>
                    <w:rPr>
                      <w:rFonts w:ascii="Arial" w:hAnsi="Arial" w:cs="Arial"/>
                      <w:szCs w:val="24"/>
                    </w:rPr>
                    <w:t xml:space="preserve">a living wage </w:t>
                  </w:r>
                  <w:r w:rsidRPr="008001A9">
                    <w:rPr>
                      <w:rFonts w:ascii="Arial" w:hAnsi="Arial" w:cs="Arial"/>
                      <w:szCs w:val="24"/>
                    </w:rPr>
                    <w:t xml:space="preserve">the </w:t>
                  </w:r>
                  <w:r>
                    <w:rPr>
                      <w:rFonts w:ascii="Arial" w:hAnsi="Arial" w:cs="Arial"/>
                      <w:szCs w:val="24"/>
                    </w:rPr>
                    <w:t xml:space="preserve">best solution to in-work poverty? </w:t>
                  </w:r>
                  <w:r w:rsidRPr="008001A9">
                    <w:rPr>
                      <w:rFonts w:ascii="Arial" w:hAnsi="Arial" w:cs="Arial"/>
                      <w:szCs w:val="24"/>
                    </w:rPr>
                    <w:t>Do we need agreement to make progress on a living wage? What are</w:t>
                  </w:r>
                  <w:r>
                    <w:rPr>
                      <w:rFonts w:ascii="Arial" w:hAnsi="Arial" w:cs="Arial"/>
                      <w:szCs w:val="24"/>
                    </w:rPr>
                    <w:t xml:space="preserve"> the key obstacles to change? </w:t>
                  </w:r>
                </w:p>
                <w:p w:rsidR="00DB6991" w:rsidRPr="008001A9" w:rsidRDefault="00DB6991" w:rsidP="00DB6991">
                  <w:pPr>
                    <w:rPr>
                      <w:sz w:val="22"/>
                    </w:rPr>
                  </w:pPr>
                </w:p>
              </w:txbxContent>
            </v:textbox>
            <w10:wrap type="none"/>
            <w10:anchorlock/>
          </v:shape>
        </w:pict>
      </w:r>
    </w:p>
    <w:p w:rsidR="00DB6991" w:rsidRDefault="00DB6991" w:rsidP="00872B73">
      <w:pPr>
        <w:jc w:val="both"/>
        <w:rPr>
          <w:rFonts w:ascii="Arial" w:hAnsi="Arial" w:cs="Arial"/>
          <w:szCs w:val="24"/>
        </w:rPr>
      </w:pPr>
    </w:p>
    <w:p w:rsidR="00BD63EF" w:rsidRDefault="00B72257" w:rsidP="00872B73">
      <w:pPr>
        <w:jc w:val="both"/>
        <w:rPr>
          <w:rFonts w:ascii="Arial" w:hAnsi="Arial" w:cs="Arial"/>
          <w:szCs w:val="24"/>
        </w:rPr>
      </w:pPr>
      <w:r w:rsidRPr="008001A9">
        <w:rPr>
          <w:rFonts w:ascii="Arial" w:hAnsi="Arial" w:cs="Arial"/>
          <w:szCs w:val="24"/>
        </w:rPr>
        <w:t xml:space="preserve">The objective of </w:t>
      </w:r>
      <w:r w:rsidR="000A41A4" w:rsidRPr="008001A9">
        <w:rPr>
          <w:rFonts w:ascii="Arial" w:hAnsi="Arial" w:cs="Arial"/>
          <w:szCs w:val="24"/>
        </w:rPr>
        <w:t xml:space="preserve">the </w:t>
      </w:r>
      <w:r w:rsidRPr="008001A9">
        <w:rPr>
          <w:rFonts w:ascii="Arial" w:hAnsi="Arial" w:cs="Arial"/>
          <w:szCs w:val="24"/>
        </w:rPr>
        <w:t xml:space="preserve">meeting will be to take stock of </w:t>
      </w:r>
      <w:r w:rsidR="00E8470E" w:rsidRPr="008001A9">
        <w:rPr>
          <w:rFonts w:ascii="Arial" w:hAnsi="Arial" w:cs="Arial"/>
          <w:szCs w:val="24"/>
        </w:rPr>
        <w:t>current thinking on the living wage debate from a range of vantage points.  By giving free rein to express positions in clear unequivocal terms</w:t>
      </w:r>
      <w:r w:rsidR="00DC7F12" w:rsidRPr="008001A9">
        <w:rPr>
          <w:rFonts w:ascii="Arial" w:hAnsi="Arial" w:cs="Arial"/>
          <w:szCs w:val="24"/>
        </w:rPr>
        <w:t xml:space="preserve"> (and acknowledging that they may be somewhat stereotypical)</w:t>
      </w:r>
      <w:r w:rsidR="00E8470E" w:rsidRPr="008001A9">
        <w:rPr>
          <w:rFonts w:ascii="Arial" w:hAnsi="Arial" w:cs="Arial"/>
          <w:szCs w:val="24"/>
        </w:rPr>
        <w:t xml:space="preserve">, the participants will contribute to </w:t>
      </w:r>
      <w:r w:rsidR="000A41A4" w:rsidRPr="008001A9">
        <w:rPr>
          <w:rFonts w:ascii="Arial" w:hAnsi="Arial" w:cs="Arial"/>
          <w:szCs w:val="24"/>
        </w:rPr>
        <w:t xml:space="preserve">mapping out </w:t>
      </w:r>
      <w:r w:rsidR="00E8470E" w:rsidRPr="008001A9">
        <w:rPr>
          <w:rFonts w:ascii="Arial" w:hAnsi="Arial" w:cs="Arial"/>
          <w:szCs w:val="24"/>
        </w:rPr>
        <w:t xml:space="preserve">the fundamental </w:t>
      </w:r>
      <w:r w:rsidR="002D75B8" w:rsidRPr="008001A9">
        <w:rPr>
          <w:rFonts w:ascii="Arial" w:hAnsi="Arial" w:cs="Arial"/>
          <w:szCs w:val="24"/>
        </w:rPr>
        <w:t xml:space="preserve">coordinates of </w:t>
      </w:r>
      <w:r w:rsidR="00E8470E" w:rsidRPr="008001A9">
        <w:rPr>
          <w:rFonts w:ascii="Arial" w:hAnsi="Arial" w:cs="Arial"/>
          <w:szCs w:val="24"/>
        </w:rPr>
        <w:t>the debate</w:t>
      </w:r>
      <w:r w:rsidR="002D75B8" w:rsidRPr="008001A9">
        <w:rPr>
          <w:rFonts w:ascii="Arial" w:hAnsi="Arial" w:cs="Arial"/>
          <w:szCs w:val="24"/>
        </w:rPr>
        <w:t xml:space="preserve">, the diverse </w:t>
      </w:r>
      <w:r w:rsidR="000A41A4" w:rsidRPr="008001A9">
        <w:rPr>
          <w:rFonts w:ascii="Arial" w:hAnsi="Arial" w:cs="Arial"/>
          <w:szCs w:val="24"/>
        </w:rPr>
        <w:t xml:space="preserve">incentives </w:t>
      </w:r>
      <w:r w:rsidR="002D75B8" w:rsidRPr="008001A9">
        <w:rPr>
          <w:rFonts w:ascii="Arial" w:hAnsi="Arial" w:cs="Arial"/>
          <w:szCs w:val="24"/>
        </w:rPr>
        <w:t xml:space="preserve">in play, stated and unstated </w:t>
      </w:r>
      <w:r w:rsidR="002D75B8" w:rsidRPr="008001A9">
        <w:rPr>
          <w:rFonts w:ascii="Arial" w:hAnsi="Arial" w:cs="Arial"/>
          <w:szCs w:val="24"/>
        </w:rPr>
        <w:lastRenderedPageBreak/>
        <w:t>assumption</w:t>
      </w:r>
      <w:r w:rsidR="000A41A4" w:rsidRPr="008001A9">
        <w:rPr>
          <w:rFonts w:ascii="Arial" w:hAnsi="Arial" w:cs="Arial"/>
          <w:szCs w:val="24"/>
        </w:rPr>
        <w:t>s</w:t>
      </w:r>
      <w:r w:rsidR="002D75B8" w:rsidRPr="008001A9">
        <w:rPr>
          <w:rFonts w:ascii="Arial" w:hAnsi="Arial" w:cs="Arial"/>
          <w:szCs w:val="24"/>
        </w:rPr>
        <w:t>,</w:t>
      </w:r>
      <w:r w:rsidR="00E8470E" w:rsidRPr="008001A9">
        <w:rPr>
          <w:rFonts w:ascii="Arial" w:hAnsi="Arial" w:cs="Arial"/>
          <w:szCs w:val="24"/>
        </w:rPr>
        <w:t xml:space="preserve"> and how</w:t>
      </w:r>
      <w:r w:rsidR="002D75B8" w:rsidRPr="008001A9">
        <w:rPr>
          <w:rFonts w:ascii="Arial" w:hAnsi="Arial" w:cs="Arial"/>
          <w:szCs w:val="24"/>
        </w:rPr>
        <w:t xml:space="preserve"> governance </w:t>
      </w:r>
      <w:r w:rsidR="00BF5E10" w:rsidRPr="008001A9">
        <w:rPr>
          <w:rFonts w:ascii="Arial" w:hAnsi="Arial" w:cs="Arial"/>
          <w:szCs w:val="24"/>
        </w:rPr>
        <w:t xml:space="preserve">innovation </w:t>
      </w:r>
      <w:r w:rsidR="002D75B8" w:rsidRPr="008001A9">
        <w:rPr>
          <w:rFonts w:ascii="Arial" w:hAnsi="Arial" w:cs="Arial"/>
          <w:szCs w:val="24"/>
        </w:rPr>
        <w:t xml:space="preserve">may offer a </w:t>
      </w:r>
      <w:r w:rsidR="000A41A4" w:rsidRPr="008001A9">
        <w:rPr>
          <w:rFonts w:ascii="Arial" w:hAnsi="Arial" w:cs="Arial"/>
          <w:szCs w:val="24"/>
        </w:rPr>
        <w:t xml:space="preserve">solution </w:t>
      </w:r>
      <w:r w:rsidR="002D75B8" w:rsidRPr="008001A9">
        <w:rPr>
          <w:rFonts w:ascii="Arial" w:hAnsi="Arial" w:cs="Arial"/>
          <w:szCs w:val="24"/>
        </w:rPr>
        <w:t xml:space="preserve">to </w:t>
      </w:r>
      <w:r w:rsidR="000A41A4" w:rsidRPr="008001A9">
        <w:rPr>
          <w:rFonts w:ascii="Arial" w:hAnsi="Arial" w:cs="Arial"/>
          <w:szCs w:val="24"/>
        </w:rPr>
        <w:t xml:space="preserve">achieving the </w:t>
      </w:r>
      <w:r w:rsidR="002D75B8" w:rsidRPr="008001A9">
        <w:rPr>
          <w:rFonts w:ascii="Arial" w:hAnsi="Arial" w:cs="Arial"/>
          <w:szCs w:val="24"/>
        </w:rPr>
        <w:t>systematic payment of a living wage in global supply chains</w:t>
      </w:r>
      <w:r w:rsidR="00DD7348">
        <w:rPr>
          <w:rFonts w:ascii="Arial" w:hAnsi="Arial" w:cs="Arial"/>
          <w:szCs w:val="24"/>
        </w:rPr>
        <w:t>.</w:t>
      </w:r>
    </w:p>
    <w:p w:rsidR="00BD63EF" w:rsidRDefault="00BD63EF" w:rsidP="00872B73">
      <w:pPr>
        <w:jc w:val="both"/>
        <w:rPr>
          <w:rFonts w:ascii="Arial" w:hAnsi="Arial" w:cs="Arial"/>
          <w:szCs w:val="24"/>
        </w:rPr>
      </w:pPr>
    </w:p>
    <w:p w:rsidR="00185FC8" w:rsidRPr="008001A9" w:rsidRDefault="003B47C8" w:rsidP="00872B73">
      <w:pPr>
        <w:jc w:val="both"/>
        <w:rPr>
          <w:rFonts w:ascii="Arial" w:hAnsi="Arial" w:cs="Arial"/>
          <w:szCs w:val="24"/>
        </w:rPr>
      </w:pPr>
      <w:r w:rsidRPr="008001A9">
        <w:rPr>
          <w:rFonts w:ascii="Arial" w:hAnsi="Arial" w:cs="Arial"/>
          <w:szCs w:val="24"/>
        </w:rPr>
        <w:t xml:space="preserve">The evening will be opened by UCL Institute of Global Governance Director </w:t>
      </w:r>
      <w:r w:rsidR="00DB6991">
        <w:rPr>
          <w:rFonts w:ascii="Arial" w:hAnsi="Arial" w:cs="Arial"/>
          <w:szCs w:val="24"/>
        </w:rPr>
        <w:t xml:space="preserve">Prof. </w:t>
      </w:r>
      <w:r w:rsidRPr="008001A9">
        <w:rPr>
          <w:rFonts w:ascii="Arial" w:hAnsi="Arial" w:cs="Arial"/>
          <w:szCs w:val="24"/>
        </w:rPr>
        <w:t>David Coen and will be followed by a diverse panel of business, human rights and supply chain experts</w:t>
      </w:r>
      <w:r w:rsidR="00DD7348">
        <w:rPr>
          <w:rFonts w:ascii="Arial" w:hAnsi="Arial" w:cs="Arial"/>
          <w:szCs w:val="24"/>
        </w:rPr>
        <w:t>, chaired by Mr Stephen Rubin.</w:t>
      </w:r>
      <w:r w:rsidR="003E0A80">
        <w:rPr>
          <w:rFonts w:ascii="Arial" w:hAnsi="Arial" w:cs="Arial"/>
          <w:szCs w:val="24"/>
        </w:rPr>
        <w:t xml:space="preserve"> It will be followed by a reception and dinner for participants.</w:t>
      </w:r>
    </w:p>
    <w:sectPr w:rsidR="00185FC8" w:rsidRPr="008001A9" w:rsidSect="00CD4B77">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37C" w:rsidRDefault="009C537C" w:rsidP="00540FB3">
      <w:r>
        <w:separator/>
      </w:r>
    </w:p>
  </w:endnote>
  <w:endnote w:type="continuationSeparator" w:id="0">
    <w:p w:rsidR="009C537C" w:rsidRDefault="009C537C" w:rsidP="00540F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86309"/>
      <w:docPartObj>
        <w:docPartGallery w:val="Page Numbers (Bottom of Page)"/>
        <w:docPartUnique/>
      </w:docPartObj>
    </w:sdtPr>
    <w:sdtContent>
      <w:p w:rsidR="00EE52F4" w:rsidRDefault="003B6836">
        <w:pPr>
          <w:pStyle w:val="Footer"/>
          <w:jc w:val="center"/>
        </w:pPr>
        <w:r w:rsidRPr="008A52E3">
          <w:rPr>
            <w:rFonts w:ascii="Arial" w:hAnsi="Arial" w:cs="Arial"/>
            <w:szCs w:val="24"/>
          </w:rPr>
          <w:fldChar w:fldCharType="begin"/>
        </w:r>
        <w:r w:rsidR="00EE52F4" w:rsidRPr="008A52E3">
          <w:rPr>
            <w:rFonts w:ascii="Arial" w:hAnsi="Arial" w:cs="Arial"/>
            <w:szCs w:val="24"/>
          </w:rPr>
          <w:instrText xml:space="preserve"> PAGE   \* MERGEFORMAT </w:instrText>
        </w:r>
        <w:r w:rsidRPr="008A52E3">
          <w:rPr>
            <w:rFonts w:ascii="Arial" w:hAnsi="Arial" w:cs="Arial"/>
            <w:szCs w:val="24"/>
          </w:rPr>
          <w:fldChar w:fldCharType="separate"/>
        </w:r>
        <w:r w:rsidR="003328CC">
          <w:rPr>
            <w:rFonts w:ascii="Arial" w:hAnsi="Arial" w:cs="Arial"/>
            <w:noProof/>
            <w:szCs w:val="24"/>
          </w:rPr>
          <w:t>1</w:t>
        </w:r>
        <w:r w:rsidRPr="008A52E3">
          <w:rPr>
            <w:rFonts w:ascii="Arial" w:hAnsi="Arial" w:cs="Arial"/>
            <w:szCs w:val="24"/>
          </w:rPr>
          <w:fldChar w:fldCharType="end"/>
        </w:r>
      </w:p>
    </w:sdtContent>
  </w:sdt>
  <w:p w:rsidR="00EE52F4" w:rsidRDefault="00EE52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37C" w:rsidRDefault="009C537C" w:rsidP="00540FB3">
      <w:r>
        <w:separator/>
      </w:r>
    </w:p>
  </w:footnote>
  <w:footnote w:type="continuationSeparator" w:id="0">
    <w:p w:rsidR="009C537C" w:rsidRDefault="009C537C" w:rsidP="00540FB3">
      <w:r>
        <w:continuationSeparator/>
      </w:r>
    </w:p>
  </w:footnote>
  <w:footnote w:id="1">
    <w:p w:rsidR="00185FC8" w:rsidRPr="00185FC8" w:rsidRDefault="00185FC8">
      <w:pPr>
        <w:pStyle w:val="FootnoteText"/>
        <w:rPr>
          <w:rFonts w:asciiTheme="minorHAnsi" w:hAnsiTheme="minorHAnsi"/>
          <w:lang w:val="en-US"/>
        </w:rPr>
      </w:pPr>
      <w:r w:rsidRPr="00185FC8">
        <w:rPr>
          <w:rStyle w:val="FootnoteReference"/>
          <w:rFonts w:asciiTheme="minorHAnsi" w:hAnsiTheme="minorHAnsi"/>
        </w:rPr>
        <w:footnoteRef/>
      </w:r>
      <w:r w:rsidRPr="00185FC8">
        <w:rPr>
          <w:rFonts w:asciiTheme="minorHAnsi" w:hAnsiTheme="minorHAnsi"/>
        </w:rPr>
        <w:t xml:space="preserve"> </w:t>
      </w:r>
      <w:r>
        <w:rPr>
          <w:rFonts w:asciiTheme="minorHAnsi" w:hAnsiTheme="minorHAnsi"/>
        </w:rPr>
        <w:t xml:space="preserve">Oxfam, </w:t>
      </w:r>
      <w:r w:rsidRPr="00185FC8">
        <w:rPr>
          <w:rFonts w:asciiTheme="minorHAnsi" w:hAnsiTheme="minorHAnsi"/>
          <w:i/>
        </w:rPr>
        <w:t>Labour Rights in Unilever’s Supply Chain</w:t>
      </w:r>
      <w:r w:rsidRPr="00185FC8">
        <w:rPr>
          <w:rFonts w:asciiTheme="minorHAnsi" w:hAnsiTheme="minorHAnsi"/>
        </w:rPr>
        <w:t xml:space="preserve"> (Oxford: Oxfam</w:t>
      </w:r>
      <w:r>
        <w:rPr>
          <w:rFonts w:asciiTheme="minorHAnsi" w:hAnsiTheme="minorHAnsi"/>
        </w:rPr>
        <w:t>, 2013</w:t>
      </w:r>
      <w:r w:rsidRPr="00185FC8">
        <w:rPr>
          <w:rFonts w:asciiTheme="minorHAnsi" w:hAnsiTheme="minorHAnsi"/>
        </w:rPr>
        <w:t>)</w:t>
      </w:r>
      <w:r>
        <w:rPr>
          <w:rFonts w:asciiTheme="minorHAnsi" w:hAnsiTheme="minorHAnsi"/>
        </w:rPr>
        <w:t>, p. 62.</w:t>
      </w:r>
    </w:p>
  </w:footnote>
  <w:footnote w:id="2">
    <w:p w:rsidR="00892DE5" w:rsidRPr="00892DE5" w:rsidRDefault="00892DE5">
      <w:pPr>
        <w:pStyle w:val="FootnoteText"/>
        <w:rPr>
          <w:rFonts w:asciiTheme="minorHAnsi" w:hAnsiTheme="minorHAnsi"/>
          <w:lang w:val="en-US"/>
        </w:rPr>
      </w:pPr>
      <w:r w:rsidRPr="00892DE5">
        <w:rPr>
          <w:rStyle w:val="FootnoteReference"/>
          <w:rFonts w:asciiTheme="minorHAnsi" w:hAnsiTheme="minorHAnsi"/>
        </w:rPr>
        <w:footnoteRef/>
      </w:r>
      <w:r w:rsidRPr="00892DE5">
        <w:rPr>
          <w:rFonts w:asciiTheme="minorHAnsi" w:hAnsiTheme="minorHAnsi"/>
        </w:rPr>
        <w:t xml:space="preserve"> </w:t>
      </w:r>
      <w:r w:rsidRPr="00892DE5">
        <w:rPr>
          <w:rFonts w:asciiTheme="minorHAnsi" w:hAnsiTheme="minorHAnsi"/>
          <w:lang w:val="en-US"/>
        </w:rPr>
        <w:t xml:space="preserve">A. Hurrell, </w:t>
      </w:r>
      <w:r w:rsidRPr="00866B73">
        <w:rPr>
          <w:rFonts w:asciiTheme="minorHAnsi" w:hAnsiTheme="minorHAnsi"/>
          <w:i/>
          <w:lang w:val="en-US"/>
        </w:rPr>
        <w:t>On Global Order</w:t>
      </w:r>
      <w:r w:rsidRPr="00892DE5">
        <w:rPr>
          <w:rFonts w:asciiTheme="minorHAnsi" w:hAnsiTheme="minorHAnsi"/>
          <w:lang w:val="en-US"/>
        </w:rPr>
        <w:t xml:space="preserve"> (Oxford: Oxford University Press), p. 293.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2F4" w:rsidRDefault="00EE52F4">
    <w:pPr>
      <w:pStyle w:val="Header"/>
    </w:pPr>
  </w:p>
  <w:p w:rsidR="00EE52F4" w:rsidRDefault="00EE52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A99"/>
    <w:multiLevelType w:val="hybridMultilevel"/>
    <w:tmpl w:val="4524C4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C34D8D"/>
    <w:multiLevelType w:val="hybridMultilevel"/>
    <w:tmpl w:val="C82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7B6ACF"/>
    <w:multiLevelType w:val="hybridMultilevel"/>
    <w:tmpl w:val="A4362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C253E4"/>
    <w:multiLevelType w:val="hybridMultilevel"/>
    <w:tmpl w:val="2B4C67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416A51"/>
    <w:multiLevelType w:val="hybridMultilevel"/>
    <w:tmpl w:val="F6AEF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967463"/>
    <w:multiLevelType w:val="hybridMultilevel"/>
    <w:tmpl w:val="ACCA3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footnotePr>
    <w:footnote w:id="-1"/>
    <w:footnote w:id="0"/>
  </w:footnotePr>
  <w:endnotePr>
    <w:endnote w:id="-1"/>
    <w:endnote w:id="0"/>
  </w:endnotePr>
  <w:compat/>
  <w:rsids>
    <w:rsidRoot w:val="00540FB3"/>
    <w:rsid w:val="000068E2"/>
    <w:rsid w:val="00017954"/>
    <w:rsid w:val="0002110D"/>
    <w:rsid w:val="0003212D"/>
    <w:rsid w:val="000351BB"/>
    <w:rsid w:val="000419EA"/>
    <w:rsid w:val="00051A89"/>
    <w:rsid w:val="00053F23"/>
    <w:rsid w:val="00074408"/>
    <w:rsid w:val="00077162"/>
    <w:rsid w:val="00081630"/>
    <w:rsid w:val="0008452A"/>
    <w:rsid w:val="000863F4"/>
    <w:rsid w:val="0009600D"/>
    <w:rsid w:val="000A18D8"/>
    <w:rsid w:val="000A41A4"/>
    <w:rsid w:val="000B3A08"/>
    <w:rsid w:val="000B6040"/>
    <w:rsid w:val="000B715F"/>
    <w:rsid w:val="000D3597"/>
    <w:rsid w:val="000E1E12"/>
    <w:rsid w:val="000E5158"/>
    <w:rsid w:val="000E7DF2"/>
    <w:rsid w:val="00106621"/>
    <w:rsid w:val="001119B1"/>
    <w:rsid w:val="00115212"/>
    <w:rsid w:val="0012234E"/>
    <w:rsid w:val="00123F44"/>
    <w:rsid w:val="0012722F"/>
    <w:rsid w:val="0014188C"/>
    <w:rsid w:val="00145FA9"/>
    <w:rsid w:val="001470F2"/>
    <w:rsid w:val="00160C58"/>
    <w:rsid w:val="001651C4"/>
    <w:rsid w:val="00170735"/>
    <w:rsid w:val="001836B4"/>
    <w:rsid w:val="00185FC8"/>
    <w:rsid w:val="00191D83"/>
    <w:rsid w:val="001930F7"/>
    <w:rsid w:val="0019766D"/>
    <w:rsid w:val="001A058C"/>
    <w:rsid w:val="001A52EE"/>
    <w:rsid w:val="001A5990"/>
    <w:rsid w:val="001B025C"/>
    <w:rsid w:val="001B04A0"/>
    <w:rsid w:val="001B6531"/>
    <w:rsid w:val="001B7C49"/>
    <w:rsid w:val="001C713E"/>
    <w:rsid w:val="001D4576"/>
    <w:rsid w:val="001D5DB5"/>
    <w:rsid w:val="001E2ED0"/>
    <w:rsid w:val="001E4177"/>
    <w:rsid w:val="001E7F95"/>
    <w:rsid w:val="002008CC"/>
    <w:rsid w:val="002307A6"/>
    <w:rsid w:val="00237484"/>
    <w:rsid w:val="002438B0"/>
    <w:rsid w:val="00250A51"/>
    <w:rsid w:val="002518AF"/>
    <w:rsid w:val="0025256D"/>
    <w:rsid w:val="0025324D"/>
    <w:rsid w:val="00253C69"/>
    <w:rsid w:val="0025799F"/>
    <w:rsid w:val="002579C9"/>
    <w:rsid w:val="00276907"/>
    <w:rsid w:val="00281FEE"/>
    <w:rsid w:val="002A3E62"/>
    <w:rsid w:val="002A77E7"/>
    <w:rsid w:val="002B0A31"/>
    <w:rsid w:val="002B4A86"/>
    <w:rsid w:val="002B69C2"/>
    <w:rsid w:val="002B792D"/>
    <w:rsid w:val="002C46EE"/>
    <w:rsid w:val="002D0EC1"/>
    <w:rsid w:val="002D3E62"/>
    <w:rsid w:val="002D3F95"/>
    <w:rsid w:val="002D62E4"/>
    <w:rsid w:val="002D75B8"/>
    <w:rsid w:val="002E0F65"/>
    <w:rsid w:val="002E10C6"/>
    <w:rsid w:val="002E2386"/>
    <w:rsid w:val="002E6BE7"/>
    <w:rsid w:val="002E6D0F"/>
    <w:rsid w:val="0030295C"/>
    <w:rsid w:val="003145B1"/>
    <w:rsid w:val="00322349"/>
    <w:rsid w:val="00323C2E"/>
    <w:rsid w:val="00330BFA"/>
    <w:rsid w:val="003328CC"/>
    <w:rsid w:val="003630E9"/>
    <w:rsid w:val="00394E9E"/>
    <w:rsid w:val="003A52A3"/>
    <w:rsid w:val="003A6DE7"/>
    <w:rsid w:val="003B47C8"/>
    <w:rsid w:val="003B6836"/>
    <w:rsid w:val="003C2523"/>
    <w:rsid w:val="003C617A"/>
    <w:rsid w:val="003D3818"/>
    <w:rsid w:val="003D4372"/>
    <w:rsid w:val="003D57A1"/>
    <w:rsid w:val="003D686F"/>
    <w:rsid w:val="003E00C0"/>
    <w:rsid w:val="003E05F9"/>
    <w:rsid w:val="003E0A80"/>
    <w:rsid w:val="003E22DA"/>
    <w:rsid w:val="003E3CB8"/>
    <w:rsid w:val="003F00F4"/>
    <w:rsid w:val="003F0E12"/>
    <w:rsid w:val="003F51E5"/>
    <w:rsid w:val="003F68D1"/>
    <w:rsid w:val="003F787B"/>
    <w:rsid w:val="00404CE7"/>
    <w:rsid w:val="00421008"/>
    <w:rsid w:val="0042508A"/>
    <w:rsid w:val="0043197E"/>
    <w:rsid w:val="00431AF4"/>
    <w:rsid w:val="00437DCA"/>
    <w:rsid w:val="00440145"/>
    <w:rsid w:val="00444902"/>
    <w:rsid w:val="00444E83"/>
    <w:rsid w:val="00444FEA"/>
    <w:rsid w:val="00451ECF"/>
    <w:rsid w:val="0045726D"/>
    <w:rsid w:val="00463441"/>
    <w:rsid w:val="0047707C"/>
    <w:rsid w:val="00490FF9"/>
    <w:rsid w:val="004A63A5"/>
    <w:rsid w:val="004B0356"/>
    <w:rsid w:val="004B2FA4"/>
    <w:rsid w:val="004B3AB0"/>
    <w:rsid w:val="004B3D77"/>
    <w:rsid w:val="004B4E70"/>
    <w:rsid w:val="004B6344"/>
    <w:rsid w:val="004C6A21"/>
    <w:rsid w:val="004D6BDF"/>
    <w:rsid w:val="004E5107"/>
    <w:rsid w:val="004E699A"/>
    <w:rsid w:val="004E7AB7"/>
    <w:rsid w:val="004F2016"/>
    <w:rsid w:val="004F304B"/>
    <w:rsid w:val="00504791"/>
    <w:rsid w:val="005057D2"/>
    <w:rsid w:val="00510831"/>
    <w:rsid w:val="00511687"/>
    <w:rsid w:val="005216C8"/>
    <w:rsid w:val="00531F22"/>
    <w:rsid w:val="005322C3"/>
    <w:rsid w:val="0053770D"/>
    <w:rsid w:val="00540FB3"/>
    <w:rsid w:val="00543BCE"/>
    <w:rsid w:val="005607BD"/>
    <w:rsid w:val="00565BAF"/>
    <w:rsid w:val="0057318E"/>
    <w:rsid w:val="005767F2"/>
    <w:rsid w:val="005773FE"/>
    <w:rsid w:val="00583556"/>
    <w:rsid w:val="00592D05"/>
    <w:rsid w:val="00595453"/>
    <w:rsid w:val="005A3B03"/>
    <w:rsid w:val="005B2F5D"/>
    <w:rsid w:val="005B30D2"/>
    <w:rsid w:val="005B4103"/>
    <w:rsid w:val="005B42B7"/>
    <w:rsid w:val="005C1E2D"/>
    <w:rsid w:val="005C346A"/>
    <w:rsid w:val="005C5846"/>
    <w:rsid w:val="005D5308"/>
    <w:rsid w:val="005E6E4C"/>
    <w:rsid w:val="005F3A3B"/>
    <w:rsid w:val="0061264B"/>
    <w:rsid w:val="00621735"/>
    <w:rsid w:val="006217E6"/>
    <w:rsid w:val="00636C0A"/>
    <w:rsid w:val="00641A1D"/>
    <w:rsid w:val="00643146"/>
    <w:rsid w:val="00643A34"/>
    <w:rsid w:val="00652A92"/>
    <w:rsid w:val="00653B83"/>
    <w:rsid w:val="0065467B"/>
    <w:rsid w:val="006549F4"/>
    <w:rsid w:val="00665B3B"/>
    <w:rsid w:val="00666915"/>
    <w:rsid w:val="0066727B"/>
    <w:rsid w:val="00675484"/>
    <w:rsid w:val="0068021E"/>
    <w:rsid w:val="00682E43"/>
    <w:rsid w:val="006855AA"/>
    <w:rsid w:val="0069190D"/>
    <w:rsid w:val="0069429B"/>
    <w:rsid w:val="006A134B"/>
    <w:rsid w:val="006B0DFF"/>
    <w:rsid w:val="006B51FE"/>
    <w:rsid w:val="006C04F1"/>
    <w:rsid w:val="006C0502"/>
    <w:rsid w:val="006C2279"/>
    <w:rsid w:val="006C3303"/>
    <w:rsid w:val="006E0417"/>
    <w:rsid w:val="006E549D"/>
    <w:rsid w:val="006E6172"/>
    <w:rsid w:val="006F0C96"/>
    <w:rsid w:val="006F3863"/>
    <w:rsid w:val="0070136F"/>
    <w:rsid w:val="00720AC1"/>
    <w:rsid w:val="00726614"/>
    <w:rsid w:val="007275BB"/>
    <w:rsid w:val="00730FEB"/>
    <w:rsid w:val="007319CB"/>
    <w:rsid w:val="00746A64"/>
    <w:rsid w:val="00752753"/>
    <w:rsid w:val="0075701D"/>
    <w:rsid w:val="007749CB"/>
    <w:rsid w:val="00792D17"/>
    <w:rsid w:val="0079512F"/>
    <w:rsid w:val="00796F44"/>
    <w:rsid w:val="007A09DD"/>
    <w:rsid w:val="007A3938"/>
    <w:rsid w:val="007A4E9D"/>
    <w:rsid w:val="007A5CDE"/>
    <w:rsid w:val="007A69B6"/>
    <w:rsid w:val="007A6D8E"/>
    <w:rsid w:val="007B033E"/>
    <w:rsid w:val="007B0B56"/>
    <w:rsid w:val="007C78A9"/>
    <w:rsid w:val="007D1D05"/>
    <w:rsid w:val="007D4441"/>
    <w:rsid w:val="007F24B9"/>
    <w:rsid w:val="007F260F"/>
    <w:rsid w:val="007F2E37"/>
    <w:rsid w:val="007F3C2E"/>
    <w:rsid w:val="008001A9"/>
    <w:rsid w:val="0080196B"/>
    <w:rsid w:val="00802DB8"/>
    <w:rsid w:val="00805167"/>
    <w:rsid w:val="00810329"/>
    <w:rsid w:val="0081254D"/>
    <w:rsid w:val="00822C0F"/>
    <w:rsid w:val="0083627B"/>
    <w:rsid w:val="0084632F"/>
    <w:rsid w:val="00850FBB"/>
    <w:rsid w:val="00857866"/>
    <w:rsid w:val="00866B73"/>
    <w:rsid w:val="00872B73"/>
    <w:rsid w:val="00874638"/>
    <w:rsid w:val="00875EF5"/>
    <w:rsid w:val="0087650B"/>
    <w:rsid w:val="00892DE5"/>
    <w:rsid w:val="00893611"/>
    <w:rsid w:val="008945AA"/>
    <w:rsid w:val="008A52E3"/>
    <w:rsid w:val="008B259E"/>
    <w:rsid w:val="008B75B3"/>
    <w:rsid w:val="008C373B"/>
    <w:rsid w:val="008E76DC"/>
    <w:rsid w:val="008F13C0"/>
    <w:rsid w:val="008F5BF0"/>
    <w:rsid w:val="00900387"/>
    <w:rsid w:val="00900798"/>
    <w:rsid w:val="009008F3"/>
    <w:rsid w:val="00904597"/>
    <w:rsid w:val="00922DD2"/>
    <w:rsid w:val="009351F0"/>
    <w:rsid w:val="00937515"/>
    <w:rsid w:val="00942AB0"/>
    <w:rsid w:val="00963084"/>
    <w:rsid w:val="00964E37"/>
    <w:rsid w:val="009666FE"/>
    <w:rsid w:val="0097522D"/>
    <w:rsid w:val="009759F0"/>
    <w:rsid w:val="00981800"/>
    <w:rsid w:val="00983671"/>
    <w:rsid w:val="00992119"/>
    <w:rsid w:val="009A2902"/>
    <w:rsid w:val="009B2E55"/>
    <w:rsid w:val="009C537C"/>
    <w:rsid w:val="009C6717"/>
    <w:rsid w:val="009F3080"/>
    <w:rsid w:val="00A0025D"/>
    <w:rsid w:val="00A07F46"/>
    <w:rsid w:val="00A10DF7"/>
    <w:rsid w:val="00A1196F"/>
    <w:rsid w:val="00A166A6"/>
    <w:rsid w:val="00A201F0"/>
    <w:rsid w:val="00A330C8"/>
    <w:rsid w:val="00A43706"/>
    <w:rsid w:val="00A45765"/>
    <w:rsid w:val="00A50564"/>
    <w:rsid w:val="00A53136"/>
    <w:rsid w:val="00A71823"/>
    <w:rsid w:val="00A95B04"/>
    <w:rsid w:val="00A96E69"/>
    <w:rsid w:val="00AA6A21"/>
    <w:rsid w:val="00AB062D"/>
    <w:rsid w:val="00AC03D9"/>
    <w:rsid w:val="00AD0559"/>
    <w:rsid w:val="00AE11B7"/>
    <w:rsid w:val="00AF719E"/>
    <w:rsid w:val="00B000A4"/>
    <w:rsid w:val="00B06812"/>
    <w:rsid w:val="00B078F6"/>
    <w:rsid w:val="00B13CCC"/>
    <w:rsid w:val="00B16507"/>
    <w:rsid w:val="00B27243"/>
    <w:rsid w:val="00B275A9"/>
    <w:rsid w:val="00B33B2E"/>
    <w:rsid w:val="00B36A4F"/>
    <w:rsid w:val="00B40234"/>
    <w:rsid w:val="00B46D23"/>
    <w:rsid w:val="00B47C2C"/>
    <w:rsid w:val="00B55763"/>
    <w:rsid w:val="00B6145F"/>
    <w:rsid w:val="00B66261"/>
    <w:rsid w:val="00B67C57"/>
    <w:rsid w:val="00B72257"/>
    <w:rsid w:val="00B853FF"/>
    <w:rsid w:val="00B87A99"/>
    <w:rsid w:val="00B87B47"/>
    <w:rsid w:val="00B91836"/>
    <w:rsid w:val="00B92826"/>
    <w:rsid w:val="00B92895"/>
    <w:rsid w:val="00BA0166"/>
    <w:rsid w:val="00BA446C"/>
    <w:rsid w:val="00BB7FB2"/>
    <w:rsid w:val="00BC0320"/>
    <w:rsid w:val="00BC1EC0"/>
    <w:rsid w:val="00BC50E3"/>
    <w:rsid w:val="00BC7678"/>
    <w:rsid w:val="00BD4A3C"/>
    <w:rsid w:val="00BD63EF"/>
    <w:rsid w:val="00BF5E10"/>
    <w:rsid w:val="00BF6294"/>
    <w:rsid w:val="00C034E6"/>
    <w:rsid w:val="00C12654"/>
    <w:rsid w:val="00C54951"/>
    <w:rsid w:val="00C60B97"/>
    <w:rsid w:val="00C61B05"/>
    <w:rsid w:val="00C6577F"/>
    <w:rsid w:val="00C80DCE"/>
    <w:rsid w:val="00C8319B"/>
    <w:rsid w:val="00C85FEA"/>
    <w:rsid w:val="00C94089"/>
    <w:rsid w:val="00C94EEC"/>
    <w:rsid w:val="00CA1E95"/>
    <w:rsid w:val="00CB1D74"/>
    <w:rsid w:val="00CB7C41"/>
    <w:rsid w:val="00CC0D94"/>
    <w:rsid w:val="00CC1003"/>
    <w:rsid w:val="00CD218E"/>
    <w:rsid w:val="00CD4B77"/>
    <w:rsid w:val="00CD562E"/>
    <w:rsid w:val="00CD6A46"/>
    <w:rsid w:val="00CE74C5"/>
    <w:rsid w:val="00CF240B"/>
    <w:rsid w:val="00CF5F36"/>
    <w:rsid w:val="00CF7C79"/>
    <w:rsid w:val="00D05941"/>
    <w:rsid w:val="00D20F74"/>
    <w:rsid w:val="00D22B8A"/>
    <w:rsid w:val="00D27435"/>
    <w:rsid w:val="00D306F3"/>
    <w:rsid w:val="00D35AD5"/>
    <w:rsid w:val="00D53EDF"/>
    <w:rsid w:val="00D55050"/>
    <w:rsid w:val="00D5697E"/>
    <w:rsid w:val="00D57959"/>
    <w:rsid w:val="00D632AC"/>
    <w:rsid w:val="00D67026"/>
    <w:rsid w:val="00D73442"/>
    <w:rsid w:val="00D77E4F"/>
    <w:rsid w:val="00D9259E"/>
    <w:rsid w:val="00D95235"/>
    <w:rsid w:val="00D9585B"/>
    <w:rsid w:val="00DB6991"/>
    <w:rsid w:val="00DC7F12"/>
    <w:rsid w:val="00DD295F"/>
    <w:rsid w:val="00DD7348"/>
    <w:rsid w:val="00DE1CC4"/>
    <w:rsid w:val="00DF75EA"/>
    <w:rsid w:val="00E01A4B"/>
    <w:rsid w:val="00E03AEC"/>
    <w:rsid w:val="00E04918"/>
    <w:rsid w:val="00E0592C"/>
    <w:rsid w:val="00E1267C"/>
    <w:rsid w:val="00E146FF"/>
    <w:rsid w:val="00E16295"/>
    <w:rsid w:val="00E172EB"/>
    <w:rsid w:val="00E2239C"/>
    <w:rsid w:val="00E2706E"/>
    <w:rsid w:val="00E37EF9"/>
    <w:rsid w:val="00E408E2"/>
    <w:rsid w:val="00E42E6D"/>
    <w:rsid w:val="00E54707"/>
    <w:rsid w:val="00E632EB"/>
    <w:rsid w:val="00E712B5"/>
    <w:rsid w:val="00E77394"/>
    <w:rsid w:val="00E838FF"/>
    <w:rsid w:val="00E8470E"/>
    <w:rsid w:val="00E84AB8"/>
    <w:rsid w:val="00EA3FD7"/>
    <w:rsid w:val="00EA75F2"/>
    <w:rsid w:val="00EB07B1"/>
    <w:rsid w:val="00EB296A"/>
    <w:rsid w:val="00EE28F6"/>
    <w:rsid w:val="00EE52F4"/>
    <w:rsid w:val="00EE67CC"/>
    <w:rsid w:val="00EF1764"/>
    <w:rsid w:val="00EF6E74"/>
    <w:rsid w:val="00F01E50"/>
    <w:rsid w:val="00F0299E"/>
    <w:rsid w:val="00F2530A"/>
    <w:rsid w:val="00F25F47"/>
    <w:rsid w:val="00F26296"/>
    <w:rsid w:val="00F36D4C"/>
    <w:rsid w:val="00F40EB1"/>
    <w:rsid w:val="00F46AE0"/>
    <w:rsid w:val="00F50E63"/>
    <w:rsid w:val="00F52389"/>
    <w:rsid w:val="00F537AE"/>
    <w:rsid w:val="00F545FC"/>
    <w:rsid w:val="00F54C55"/>
    <w:rsid w:val="00F62DF0"/>
    <w:rsid w:val="00F63509"/>
    <w:rsid w:val="00F6413C"/>
    <w:rsid w:val="00F67658"/>
    <w:rsid w:val="00F70B27"/>
    <w:rsid w:val="00F776F2"/>
    <w:rsid w:val="00F83A8E"/>
    <w:rsid w:val="00F92548"/>
    <w:rsid w:val="00F96267"/>
    <w:rsid w:val="00FA3C8B"/>
    <w:rsid w:val="00FA5007"/>
    <w:rsid w:val="00FD46E4"/>
    <w:rsid w:val="00FE0A26"/>
    <w:rsid w:val="00FE175D"/>
    <w:rsid w:val="00FE5D4A"/>
    <w:rsid w:val="00FF356C"/>
    <w:rsid w:val="00FF3967"/>
    <w:rsid w:val="00FF6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0FB3"/>
    <w:pPr>
      <w:tabs>
        <w:tab w:val="center" w:pos="4513"/>
        <w:tab w:val="right" w:pos="9026"/>
      </w:tabs>
    </w:pPr>
  </w:style>
  <w:style w:type="character" w:customStyle="1" w:styleId="HeaderChar">
    <w:name w:val="Header Char"/>
    <w:basedOn w:val="DefaultParagraphFont"/>
    <w:link w:val="Header"/>
    <w:uiPriority w:val="99"/>
    <w:rsid w:val="00540FB3"/>
  </w:style>
  <w:style w:type="paragraph" w:styleId="Footer">
    <w:name w:val="footer"/>
    <w:basedOn w:val="Normal"/>
    <w:link w:val="FooterChar"/>
    <w:uiPriority w:val="99"/>
    <w:unhideWhenUsed/>
    <w:rsid w:val="00540FB3"/>
    <w:pPr>
      <w:tabs>
        <w:tab w:val="center" w:pos="4513"/>
        <w:tab w:val="right" w:pos="9026"/>
      </w:tabs>
    </w:pPr>
  </w:style>
  <w:style w:type="character" w:customStyle="1" w:styleId="FooterChar">
    <w:name w:val="Footer Char"/>
    <w:basedOn w:val="DefaultParagraphFont"/>
    <w:link w:val="Footer"/>
    <w:uiPriority w:val="99"/>
    <w:rsid w:val="00540FB3"/>
  </w:style>
  <w:style w:type="paragraph" w:styleId="BalloonText">
    <w:name w:val="Balloon Text"/>
    <w:basedOn w:val="Normal"/>
    <w:link w:val="BalloonTextChar"/>
    <w:uiPriority w:val="99"/>
    <w:semiHidden/>
    <w:unhideWhenUsed/>
    <w:rsid w:val="00540FB3"/>
    <w:rPr>
      <w:rFonts w:ascii="Tahoma" w:hAnsi="Tahoma" w:cs="Tahoma"/>
      <w:sz w:val="16"/>
      <w:szCs w:val="16"/>
    </w:rPr>
  </w:style>
  <w:style w:type="character" w:customStyle="1" w:styleId="BalloonTextChar">
    <w:name w:val="Balloon Text Char"/>
    <w:basedOn w:val="DefaultParagraphFont"/>
    <w:link w:val="BalloonText"/>
    <w:uiPriority w:val="99"/>
    <w:semiHidden/>
    <w:rsid w:val="00540FB3"/>
    <w:rPr>
      <w:rFonts w:ascii="Tahoma" w:hAnsi="Tahoma" w:cs="Tahoma"/>
      <w:sz w:val="16"/>
      <w:szCs w:val="16"/>
    </w:rPr>
  </w:style>
  <w:style w:type="paragraph" w:styleId="ListParagraph">
    <w:name w:val="List Paragraph"/>
    <w:basedOn w:val="Normal"/>
    <w:uiPriority w:val="34"/>
    <w:qFormat/>
    <w:rsid w:val="00540FB3"/>
    <w:pPr>
      <w:ind w:left="720"/>
      <w:contextualSpacing/>
    </w:pPr>
  </w:style>
  <w:style w:type="character" w:styleId="Hyperlink">
    <w:name w:val="Hyperlink"/>
    <w:basedOn w:val="DefaultParagraphFont"/>
    <w:uiPriority w:val="99"/>
    <w:unhideWhenUsed/>
    <w:rsid w:val="00540FB3"/>
    <w:rPr>
      <w:color w:val="0000FF" w:themeColor="hyperlink"/>
      <w:u w:val="single"/>
    </w:rPr>
  </w:style>
  <w:style w:type="table" w:styleId="TableGrid">
    <w:name w:val="Table Grid"/>
    <w:basedOn w:val="TableNormal"/>
    <w:uiPriority w:val="59"/>
    <w:rsid w:val="00F029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85FC8"/>
    <w:rPr>
      <w:sz w:val="20"/>
      <w:szCs w:val="20"/>
    </w:rPr>
  </w:style>
  <w:style w:type="character" w:customStyle="1" w:styleId="FootnoteTextChar">
    <w:name w:val="Footnote Text Char"/>
    <w:basedOn w:val="DefaultParagraphFont"/>
    <w:link w:val="FootnoteText"/>
    <w:uiPriority w:val="99"/>
    <w:semiHidden/>
    <w:rsid w:val="00185FC8"/>
    <w:rPr>
      <w:sz w:val="20"/>
      <w:szCs w:val="20"/>
    </w:rPr>
  </w:style>
  <w:style w:type="character" w:styleId="FootnoteReference">
    <w:name w:val="footnote reference"/>
    <w:basedOn w:val="DefaultParagraphFont"/>
    <w:uiPriority w:val="99"/>
    <w:semiHidden/>
    <w:unhideWhenUsed/>
    <w:rsid w:val="00185F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egram@ucl.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A6F31-FA66-4B37-A0BF-16C9C459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2114</Words>
  <Characters>12056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cp:lastPrinted>2014-02-02T21:37:00Z</cp:lastPrinted>
  <dcterms:created xsi:type="dcterms:W3CDTF">2014-02-02T21:37:00Z</dcterms:created>
  <dcterms:modified xsi:type="dcterms:W3CDTF">2014-02-02T21:37:00Z</dcterms:modified>
</cp:coreProperties>
</file>