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0C3" w:rsidRPr="009B50C3" w:rsidRDefault="00FF66DC" w:rsidP="009B50C3">
      <w:pPr>
        <w:jc w:val="center"/>
        <w:outlineLvl w:val="0"/>
        <w:rPr>
          <w:b/>
          <w:sz w:val="28"/>
          <w:lang w:val="en-US"/>
        </w:rPr>
      </w:pPr>
      <w:r w:rsidRPr="009B50C3">
        <w:rPr>
          <w:b/>
          <w:sz w:val="28"/>
          <w:lang w:val="en-US"/>
        </w:rPr>
        <w:t>Soft Law at Work:</w:t>
      </w:r>
      <w:r w:rsidR="00EC174A" w:rsidRPr="009B50C3">
        <w:rPr>
          <w:b/>
          <w:sz w:val="28"/>
          <w:lang w:val="en-US"/>
        </w:rPr>
        <w:t xml:space="preserve"> International Standards and</w:t>
      </w:r>
      <w:r w:rsidR="00733B73" w:rsidRPr="009B50C3">
        <w:rPr>
          <w:b/>
          <w:sz w:val="28"/>
          <w:lang w:val="en-US"/>
        </w:rPr>
        <w:t xml:space="preserve"> the Design of</w:t>
      </w:r>
      <w:r w:rsidR="00EC174A" w:rsidRPr="009B50C3">
        <w:rPr>
          <w:b/>
          <w:sz w:val="28"/>
          <w:lang w:val="en-US"/>
        </w:rPr>
        <w:t xml:space="preserve"> National Human Rights </w:t>
      </w:r>
      <w:r w:rsidR="00733B73" w:rsidRPr="009B50C3">
        <w:rPr>
          <w:b/>
          <w:sz w:val="28"/>
          <w:lang w:val="en-US"/>
        </w:rPr>
        <w:t>Institutions</w:t>
      </w:r>
    </w:p>
    <w:p w:rsidR="009B50C3" w:rsidRPr="001E74B6" w:rsidRDefault="009B50C3" w:rsidP="009B50C3">
      <w:pPr>
        <w:jc w:val="center"/>
        <w:rPr>
          <w:szCs w:val="23"/>
        </w:rPr>
      </w:pPr>
      <w:r w:rsidRPr="001E74B6">
        <w:t>S</w:t>
      </w:r>
      <w:r w:rsidRPr="001E74B6">
        <w:rPr>
          <w:szCs w:val="23"/>
        </w:rPr>
        <w:t>cholarly paper proposal for the inaugural</w:t>
      </w:r>
      <w:r w:rsidRPr="00A70D88">
        <w:rPr>
          <w:szCs w:val="23"/>
        </w:rPr>
        <w:t xml:space="preserve"> </w:t>
      </w:r>
      <w:r w:rsidRPr="00A70D88">
        <w:rPr>
          <w:iCs/>
          <w:szCs w:val="23"/>
        </w:rPr>
        <w:t>ASIL Research Forum</w:t>
      </w:r>
      <w:r w:rsidR="002A07B1" w:rsidRPr="00A70D88">
        <w:rPr>
          <w:iCs/>
          <w:szCs w:val="23"/>
        </w:rPr>
        <w:t xml:space="preserve"> – November 2011 </w:t>
      </w:r>
    </w:p>
    <w:p w:rsidR="009B50C3" w:rsidRPr="007C639A" w:rsidRDefault="009B50C3" w:rsidP="009B50C3">
      <w:pPr>
        <w:jc w:val="center"/>
        <w:outlineLvl w:val="0"/>
        <w:rPr>
          <w:sz w:val="22"/>
          <w:lang w:val="en-US"/>
        </w:rPr>
      </w:pPr>
      <w:r w:rsidRPr="001E74B6">
        <w:rPr>
          <w:lang w:val="en-US"/>
        </w:rPr>
        <w:t>Katerina Linos (Berkeley Law School) and Thomas Pegram (NYU School of Law)</w:t>
      </w:r>
    </w:p>
    <w:p w:rsidR="009B50C3" w:rsidRPr="009B50C3" w:rsidRDefault="009B50C3" w:rsidP="00B77ED3">
      <w:pPr>
        <w:jc w:val="both"/>
        <w:rPr>
          <w:highlight w:val="cyan"/>
        </w:rPr>
      </w:pPr>
    </w:p>
    <w:p w:rsidR="00B148E8" w:rsidRPr="004B6B0C" w:rsidRDefault="00FF66DC" w:rsidP="00B77ED3">
      <w:pPr>
        <w:jc w:val="both"/>
        <w:rPr>
          <w:lang w:val="en-US"/>
        </w:rPr>
      </w:pPr>
      <w:r w:rsidRPr="004B6B0C">
        <w:rPr>
          <w:rFonts w:cs="Times New Roman"/>
          <w:lang w:val="en-US"/>
        </w:rPr>
        <w:t>Human rights treaties articulate ambitious international standards, but in many parts of the worl</w:t>
      </w:r>
      <w:r w:rsidR="005A0C14" w:rsidRPr="004B6B0C">
        <w:rPr>
          <w:rFonts w:cs="Times New Roman"/>
          <w:lang w:val="en-US"/>
        </w:rPr>
        <w:t xml:space="preserve">d, </w:t>
      </w:r>
      <w:r w:rsidRPr="004B6B0C">
        <w:rPr>
          <w:rFonts w:cs="Times New Roman"/>
          <w:lang w:val="en-US"/>
        </w:rPr>
        <w:t>domestic practices lag far behind</w:t>
      </w:r>
      <w:r w:rsidR="00984F6A" w:rsidRPr="004B6B0C">
        <w:rPr>
          <w:rFonts w:cs="Times New Roman"/>
          <w:lang w:val="en-US"/>
        </w:rPr>
        <w:t xml:space="preserve">. </w:t>
      </w:r>
      <w:r w:rsidR="001E74B6">
        <w:rPr>
          <w:rFonts w:cs="Times New Roman"/>
          <w:lang w:val="en-US"/>
        </w:rPr>
        <w:t xml:space="preserve"> </w:t>
      </w:r>
      <w:r w:rsidRPr="004B6B0C">
        <w:rPr>
          <w:rFonts w:cs="Times New Roman"/>
          <w:lang w:val="en-US"/>
        </w:rPr>
        <w:t>To bridge the gulf between international law and domestic practice, the United Nations promoted a novel idea in t</w:t>
      </w:r>
      <w:r w:rsidR="006F25F3" w:rsidRPr="004B6B0C">
        <w:rPr>
          <w:rFonts w:cs="Times New Roman"/>
          <w:lang w:val="en-US"/>
        </w:rPr>
        <w:t>he mid-1990s: all countries were</w:t>
      </w:r>
      <w:r w:rsidRPr="004B6B0C">
        <w:rPr>
          <w:rFonts w:cs="Times New Roman"/>
          <w:lang w:val="en-US"/>
        </w:rPr>
        <w:t xml:space="preserve"> to adopt National Human Rights Institutions</w:t>
      </w:r>
      <w:r w:rsidR="00733B73" w:rsidRPr="004B6B0C">
        <w:rPr>
          <w:rFonts w:cs="Times New Roman"/>
          <w:lang w:val="en-US"/>
        </w:rPr>
        <w:t xml:space="preserve"> (NHRIs)</w:t>
      </w:r>
      <w:r w:rsidRPr="004B6B0C">
        <w:rPr>
          <w:rFonts w:cs="Times New Roman"/>
          <w:lang w:val="en-US"/>
        </w:rPr>
        <w:t>, national agencies</w:t>
      </w:r>
      <w:r w:rsidR="00EC174A" w:rsidRPr="004B6B0C">
        <w:rPr>
          <w:rFonts w:cs="Times New Roman"/>
          <w:lang w:val="en-US"/>
        </w:rPr>
        <w:t xml:space="preserve"> specifically </w:t>
      </w:r>
      <w:r w:rsidR="005418A7">
        <w:rPr>
          <w:rFonts w:cs="Times New Roman"/>
          <w:lang w:val="en-US"/>
        </w:rPr>
        <w:t>designed</w:t>
      </w:r>
      <w:r w:rsidR="00EC174A" w:rsidRPr="004B6B0C">
        <w:rPr>
          <w:rFonts w:cs="Times New Roman"/>
          <w:lang w:val="en-US"/>
        </w:rPr>
        <w:t xml:space="preserve"> to protect and promote human rights.</w:t>
      </w:r>
      <w:r w:rsidR="00EC174A" w:rsidRPr="004B6B0C">
        <w:rPr>
          <w:rStyle w:val="FootnoteReference"/>
          <w:rFonts w:cs="Times New Roman"/>
          <w:lang w:val="en-US"/>
        </w:rPr>
        <w:footnoteReference w:id="1"/>
      </w:r>
      <w:r w:rsidR="00EC174A" w:rsidRPr="004B6B0C">
        <w:rPr>
          <w:rFonts w:cs="Times New Roman"/>
          <w:lang w:val="en-US"/>
        </w:rPr>
        <w:t xml:space="preserve"> </w:t>
      </w:r>
      <w:r w:rsidRPr="004B6B0C">
        <w:rPr>
          <w:rFonts w:cs="Times New Roman"/>
          <w:lang w:val="en-US"/>
        </w:rPr>
        <w:t>The United Nations did not</w:t>
      </w:r>
      <w:r w:rsidR="004B1C85" w:rsidRPr="004B6B0C">
        <w:rPr>
          <w:rFonts w:cs="Times New Roman"/>
          <w:lang w:val="en-US"/>
        </w:rPr>
        <w:t xml:space="preserve"> invent NHRIs. </w:t>
      </w:r>
      <w:r w:rsidR="001E74B6">
        <w:rPr>
          <w:rFonts w:cs="Times New Roman"/>
          <w:lang w:val="en-US"/>
        </w:rPr>
        <w:t xml:space="preserve"> </w:t>
      </w:r>
      <w:r w:rsidR="004B1C85" w:rsidRPr="004B6B0C">
        <w:rPr>
          <w:rFonts w:cs="Times New Roman"/>
          <w:lang w:val="en-US"/>
        </w:rPr>
        <w:t>T</w:t>
      </w:r>
      <w:r w:rsidR="00EC174A" w:rsidRPr="004B6B0C">
        <w:rPr>
          <w:rFonts w:cs="Times New Roman"/>
          <w:lang w:val="en-US"/>
        </w:rPr>
        <w:t>he emergence</w:t>
      </w:r>
      <w:r w:rsidR="005A0C14" w:rsidRPr="004B6B0C">
        <w:rPr>
          <w:rFonts w:cs="Times New Roman"/>
          <w:lang w:val="en-US"/>
        </w:rPr>
        <w:t xml:space="preserve"> </w:t>
      </w:r>
      <w:r w:rsidR="00EC174A" w:rsidRPr="004B6B0C">
        <w:rPr>
          <w:rFonts w:cs="Times New Roman"/>
          <w:lang w:val="en-US"/>
        </w:rPr>
        <w:t xml:space="preserve">of the NHRI concept can be traced back possibly as far as 1946, with significant exemplar models appearing in the 1970s and 1980s (Pohjolainen 2006: 30). </w:t>
      </w:r>
      <w:r w:rsidR="001E74B6">
        <w:rPr>
          <w:rFonts w:cs="Times New Roman"/>
          <w:lang w:val="en-US"/>
        </w:rPr>
        <w:t xml:space="preserve"> </w:t>
      </w:r>
      <w:r w:rsidR="00EC174A" w:rsidRPr="004B6B0C">
        <w:rPr>
          <w:rFonts w:cs="Times New Roman"/>
          <w:lang w:val="en-US"/>
        </w:rPr>
        <w:t xml:space="preserve">However, it is their codification in the Paris Principles and subsequent endorsement by State Parties in the UN General Assembly in 1993 that </w:t>
      </w:r>
      <w:r w:rsidR="004B1C85" w:rsidRPr="004B6B0C">
        <w:rPr>
          <w:rFonts w:cs="Times New Roman"/>
          <w:lang w:val="en-US"/>
        </w:rPr>
        <w:t>p</w:t>
      </w:r>
      <w:r w:rsidR="00EC174A" w:rsidRPr="004B6B0C">
        <w:rPr>
          <w:rFonts w:cs="Times New Roman"/>
          <w:lang w:val="en-US"/>
        </w:rPr>
        <w:t>recipitated a norm cascade on a global scale.</w:t>
      </w:r>
      <w:r w:rsidR="00EC174A" w:rsidRPr="004B6B0C">
        <w:rPr>
          <w:rStyle w:val="FootnoteReference"/>
          <w:rFonts w:cs="Times New Roman"/>
          <w:lang w:val="en-US"/>
        </w:rPr>
        <w:footnoteReference w:id="2"/>
      </w:r>
      <w:r w:rsidR="00EC174A" w:rsidRPr="004B6B0C">
        <w:rPr>
          <w:rFonts w:cs="Times New Roman"/>
          <w:lang w:val="en-US"/>
        </w:rPr>
        <w:t xml:space="preserve"> </w:t>
      </w:r>
      <w:r w:rsidR="00733B73" w:rsidRPr="004B6B0C">
        <w:rPr>
          <w:rFonts w:cs="Times New Roman"/>
          <w:lang w:val="en-US"/>
        </w:rPr>
        <w:t>NHRIs spread very rapidly</w:t>
      </w:r>
      <w:r w:rsidR="00EC174A" w:rsidRPr="004B6B0C">
        <w:rPr>
          <w:rFonts w:cs="Times New Roman"/>
          <w:lang w:val="en-US"/>
        </w:rPr>
        <w:t xml:space="preserve"> across diverse political systems, from an estimated </w:t>
      </w:r>
      <w:r w:rsidRPr="004B6B0C">
        <w:rPr>
          <w:rFonts w:cs="Times New Roman"/>
          <w:lang w:val="en-US"/>
        </w:rPr>
        <w:t xml:space="preserve">twenty </w:t>
      </w:r>
      <w:r w:rsidR="00EC174A" w:rsidRPr="004B6B0C">
        <w:rPr>
          <w:rFonts w:cs="Times New Roman"/>
          <w:lang w:val="en-US"/>
        </w:rPr>
        <w:t xml:space="preserve">NHRIs in 1990 </w:t>
      </w:r>
      <w:r w:rsidR="005A0C14" w:rsidRPr="004B6B0C">
        <w:rPr>
          <w:rFonts w:cs="Times New Roman"/>
          <w:lang w:val="en-US"/>
        </w:rPr>
        <w:t xml:space="preserve">to </w:t>
      </w:r>
      <w:r w:rsidR="00EC174A" w:rsidRPr="004B6B0C">
        <w:rPr>
          <w:rFonts w:cs="Times New Roman"/>
          <w:lang w:val="en-US"/>
        </w:rPr>
        <w:t xml:space="preserve">approximately </w:t>
      </w:r>
      <w:r w:rsidR="00780C92" w:rsidRPr="004B6B0C">
        <w:rPr>
          <w:rFonts w:cs="Times New Roman"/>
          <w:lang w:val="en-US"/>
        </w:rPr>
        <w:t>108</w:t>
      </w:r>
      <w:r w:rsidR="00EC174A" w:rsidRPr="004B6B0C">
        <w:rPr>
          <w:rFonts w:cs="Times New Roman"/>
          <w:lang w:val="en-US"/>
        </w:rPr>
        <w:t xml:space="preserve"> active NHRIs in 20</w:t>
      </w:r>
      <w:r w:rsidR="00780C92" w:rsidRPr="004B6B0C">
        <w:rPr>
          <w:rFonts w:cs="Times New Roman"/>
          <w:lang w:val="en-US"/>
        </w:rPr>
        <w:t>11</w:t>
      </w:r>
      <w:r w:rsidR="00EC174A" w:rsidRPr="004B6B0C">
        <w:rPr>
          <w:rFonts w:cs="Times New Roman"/>
          <w:lang w:val="en-US"/>
        </w:rPr>
        <w:t>.</w:t>
      </w:r>
      <w:r w:rsidR="00EC174A" w:rsidRPr="004B6B0C">
        <w:rPr>
          <w:rFonts w:cs="Times New Roman"/>
          <w:vertAlign w:val="superscript"/>
          <w:lang w:val="en-US"/>
        </w:rPr>
        <w:footnoteReference w:id="3"/>
      </w:r>
      <w:r w:rsidR="00EC174A" w:rsidRPr="004B6B0C">
        <w:rPr>
          <w:rFonts w:cs="Times New Roman"/>
          <w:lang w:val="en-US"/>
        </w:rPr>
        <w:t xml:space="preserve"> </w:t>
      </w:r>
      <w:r w:rsidR="006F25F3" w:rsidRPr="004B6B0C">
        <w:rPr>
          <w:lang w:val="en-US"/>
        </w:rPr>
        <w:t>This transformati</w:t>
      </w:r>
      <w:r w:rsidR="00B148E8" w:rsidRPr="004B6B0C">
        <w:rPr>
          <w:lang w:val="en-US"/>
        </w:rPr>
        <w:t>on is</w:t>
      </w:r>
      <w:r w:rsidR="004B1C85" w:rsidRPr="004B6B0C">
        <w:rPr>
          <w:lang w:val="en-US"/>
        </w:rPr>
        <w:t xml:space="preserve"> significant because governments committed major institutional resources to the protection of human rights.</w:t>
      </w:r>
      <w:r w:rsidR="001E74B6">
        <w:rPr>
          <w:lang w:val="en-US"/>
        </w:rPr>
        <w:t xml:space="preserve"> </w:t>
      </w:r>
      <w:r w:rsidR="004B1C85" w:rsidRPr="004B6B0C">
        <w:rPr>
          <w:lang w:val="en-US"/>
        </w:rPr>
        <w:t xml:space="preserve"> And even more remarkably, </w:t>
      </w:r>
      <w:r w:rsidR="00765D59" w:rsidRPr="004B6B0C">
        <w:rPr>
          <w:lang w:val="en-US"/>
        </w:rPr>
        <w:t xml:space="preserve">governments around the world </w:t>
      </w:r>
      <w:r w:rsidR="005418A7">
        <w:rPr>
          <w:lang w:val="en-US"/>
        </w:rPr>
        <w:t xml:space="preserve">built institutions </w:t>
      </w:r>
      <w:r w:rsidR="004B1C85" w:rsidRPr="004B6B0C">
        <w:rPr>
          <w:lang w:val="en-US"/>
        </w:rPr>
        <w:t xml:space="preserve">explicitly designed to monitor and </w:t>
      </w:r>
      <w:r w:rsidR="005A0C14" w:rsidRPr="004B6B0C">
        <w:rPr>
          <w:lang w:val="en-US"/>
        </w:rPr>
        <w:t xml:space="preserve">fight </w:t>
      </w:r>
      <w:r w:rsidR="00AD43C5" w:rsidRPr="004B6B0C">
        <w:rPr>
          <w:i/>
          <w:lang w:val="en-US"/>
        </w:rPr>
        <w:t xml:space="preserve">governmental </w:t>
      </w:r>
      <w:r w:rsidR="00B148E8" w:rsidRPr="004B6B0C">
        <w:rPr>
          <w:lang w:val="en-US"/>
        </w:rPr>
        <w:t>inef</w:t>
      </w:r>
      <w:bookmarkStart w:id="0" w:name="_GoBack"/>
      <w:bookmarkEnd w:id="0"/>
      <w:r w:rsidR="00B148E8" w:rsidRPr="004B6B0C">
        <w:rPr>
          <w:lang w:val="en-US"/>
        </w:rPr>
        <w:t>ficiencies and abu</w:t>
      </w:r>
      <w:r w:rsidR="007C639A">
        <w:rPr>
          <w:lang w:val="en-US"/>
        </w:rPr>
        <w:t>ses.</w:t>
      </w:r>
    </w:p>
    <w:p w:rsidR="00B148E8" w:rsidRPr="004B6B0C" w:rsidRDefault="00B148E8" w:rsidP="00B77ED3">
      <w:pPr>
        <w:jc w:val="both"/>
        <w:rPr>
          <w:lang w:val="en-US"/>
        </w:rPr>
      </w:pPr>
    </w:p>
    <w:p w:rsidR="00EC174A" w:rsidRDefault="00984F6A" w:rsidP="00B77ED3">
      <w:pPr>
        <w:tabs>
          <w:tab w:val="left" w:pos="3330"/>
        </w:tabs>
        <w:jc w:val="both"/>
        <w:rPr>
          <w:rFonts w:cs="Times New Roman"/>
          <w:lang w:val="en-US"/>
        </w:rPr>
      </w:pPr>
      <w:r w:rsidRPr="004B6B0C">
        <w:rPr>
          <w:lang w:val="en-US"/>
        </w:rPr>
        <w:t xml:space="preserve">This </w:t>
      </w:r>
      <w:r w:rsidR="007C639A">
        <w:rPr>
          <w:lang w:val="en-US"/>
        </w:rPr>
        <w:t>paper examines</w:t>
      </w:r>
      <w:r w:rsidRPr="004B6B0C">
        <w:rPr>
          <w:lang w:val="en-US"/>
        </w:rPr>
        <w:t xml:space="preserve"> how </w:t>
      </w:r>
      <w:r w:rsidR="004B1C85" w:rsidRPr="004B6B0C">
        <w:rPr>
          <w:lang w:val="en-US"/>
        </w:rPr>
        <w:t>the international community contributed to this norm cascade.</w:t>
      </w:r>
      <w:r w:rsidR="00304F67">
        <w:rPr>
          <w:lang w:val="en-US"/>
        </w:rPr>
        <w:t xml:space="preserve"> </w:t>
      </w:r>
      <w:r w:rsidR="004B1C85" w:rsidRPr="004B6B0C">
        <w:rPr>
          <w:lang w:val="en-US"/>
        </w:rPr>
        <w:t xml:space="preserve"> We study how </w:t>
      </w:r>
      <w:r w:rsidR="00765D59" w:rsidRPr="004B6B0C">
        <w:rPr>
          <w:lang w:val="en-US"/>
        </w:rPr>
        <w:t>the Paris Principles influenced</w:t>
      </w:r>
      <w:r w:rsidR="004B1C85" w:rsidRPr="004B6B0C">
        <w:rPr>
          <w:lang w:val="en-US"/>
        </w:rPr>
        <w:t xml:space="preserve"> the development of NHRIs</w:t>
      </w:r>
      <w:r w:rsidR="005A0C14" w:rsidRPr="004B6B0C">
        <w:rPr>
          <w:lang w:val="en-US"/>
        </w:rPr>
        <w:t xml:space="preserve"> through a</w:t>
      </w:r>
      <w:r w:rsidRPr="004B6B0C">
        <w:rPr>
          <w:lang w:val="en-US"/>
        </w:rPr>
        <w:t xml:space="preserve"> </w:t>
      </w:r>
      <w:r w:rsidR="005A0C14" w:rsidRPr="004B6B0C">
        <w:rPr>
          <w:lang w:val="en-US"/>
        </w:rPr>
        <w:t xml:space="preserve">new, original </w:t>
      </w:r>
      <w:r w:rsidRPr="004B6B0C">
        <w:rPr>
          <w:lang w:val="en-US"/>
        </w:rPr>
        <w:t>da</w:t>
      </w:r>
      <w:r w:rsidR="00D45D7E" w:rsidRPr="004B6B0C">
        <w:rPr>
          <w:lang w:val="en-US"/>
        </w:rPr>
        <w:t xml:space="preserve">taset </w:t>
      </w:r>
      <w:r w:rsidR="00765D59" w:rsidRPr="004B6B0C">
        <w:rPr>
          <w:lang w:val="en-US"/>
        </w:rPr>
        <w:t xml:space="preserve">with information on how all </w:t>
      </w:r>
      <w:r w:rsidR="00A10BFB">
        <w:rPr>
          <w:lang w:val="en-US"/>
        </w:rPr>
        <w:t>108</w:t>
      </w:r>
      <w:r w:rsidRPr="004B6B0C">
        <w:rPr>
          <w:lang w:val="en-US"/>
        </w:rPr>
        <w:t xml:space="preserve"> national institutions</w:t>
      </w:r>
      <w:r w:rsidR="00765D59" w:rsidRPr="004B6B0C">
        <w:rPr>
          <w:lang w:val="en-US"/>
        </w:rPr>
        <w:t xml:space="preserve"> are designed</w:t>
      </w:r>
      <w:r w:rsidRPr="004B6B0C">
        <w:rPr>
          <w:lang w:val="en-US"/>
        </w:rPr>
        <w:t>.</w:t>
      </w:r>
      <w:r w:rsidR="008F41DD" w:rsidRPr="004B6B0C">
        <w:rPr>
          <w:rStyle w:val="FootnoteReference"/>
          <w:lang w:val="en-US"/>
        </w:rPr>
        <w:footnoteReference w:id="4"/>
      </w:r>
      <w:r w:rsidRPr="004B6B0C">
        <w:rPr>
          <w:lang w:val="en-US"/>
        </w:rPr>
        <w:t xml:space="preserve"> This inquiry </w:t>
      </w:r>
      <w:r w:rsidR="007C639A">
        <w:rPr>
          <w:lang w:val="en-US"/>
        </w:rPr>
        <w:t>allows</w:t>
      </w:r>
      <w:r w:rsidR="00D45D7E" w:rsidRPr="004B6B0C">
        <w:rPr>
          <w:lang w:val="en-US"/>
        </w:rPr>
        <w:t xml:space="preserve"> us to contribute to major </w:t>
      </w:r>
      <w:r w:rsidR="00765D59" w:rsidRPr="004B6B0C">
        <w:rPr>
          <w:lang w:val="en-US"/>
        </w:rPr>
        <w:t>debates on</w:t>
      </w:r>
      <w:r w:rsidR="00AE316E" w:rsidRPr="004B6B0C">
        <w:rPr>
          <w:lang w:val="en-US"/>
        </w:rPr>
        <w:t xml:space="preserve"> how international law</w:t>
      </w:r>
      <w:r w:rsidR="00D45D7E" w:rsidRPr="004B6B0C">
        <w:rPr>
          <w:lang w:val="en-US"/>
        </w:rPr>
        <w:t xml:space="preserve"> should be structured, and on the tradeoffs involved </w:t>
      </w:r>
      <w:r w:rsidR="00E04E83" w:rsidRPr="004B6B0C">
        <w:rPr>
          <w:lang w:val="en-US"/>
        </w:rPr>
        <w:t>in departing from the classical model of legally binding</w:t>
      </w:r>
      <w:r w:rsidR="00631981" w:rsidRPr="004B6B0C">
        <w:rPr>
          <w:lang w:val="en-US"/>
        </w:rPr>
        <w:t xml:space="preserve"> agreements with</w:t>
      </w:r>
      <w:r w:rsidR="00E04E83" w:rsidRPr="004B6B0C">
        <w:rPr>
          <w:lang w:val="en-US"/>
        </w:rPr>
        <w:t xml:space="preserve"> precise</w:t>
      </w:r>
      <w:r w:rsidR="00D50D14" w:rsidRPr="004B6B0C">
        <w:rPr>
          <w:lang w:val="en-US"/>
        </w:rPr>
        <w:t>ly articulated</w:t>
      </w:r>
      <w:r w:rsidR="00E04E83" w:rsidRPr="004B6B0C">
        <w:rPr>
          <w:lang w:val="en-US"/>
        </w:rPr>
        <w:t xml:space="preserve"> obligations </w:t>
      </w:r>
      <w:r w:rsidR="00D45D7E" w:rsidRPr="004B6B0C">
        <w:rPr>
          <w:lang w:val="en-US"/>
        </w:rPr>
        <w:t>(</w:t>
      </w:r>
      <w:r w:rsidR="00E04E83" w:rsidRPr="004B6B0C">
        <w:rPr>
          <w:lang w:val="en-US"/>
        </w:rPr>
        <w:t>Abbott et al. 2000</w:t>
      </w:r>
      <w:r w:rsidR="005A0C14" w:rsidRPr="004B6B0C">
        <w:rPr>
          <w:lang w:val="en-US"/>
        </w:rPr>
        <w:t>; Goodman &amp; Jinks 2004</w:t>
      </w:r>
      <w:r w:rsidR="00E04E83" w:rsidRPr="004B6B0C">
        <w:rPr>
          <w:lang w:val="en-US"/>
        </w:rPr>
        <w:t>).</w:t>
      </w:r>
      <w:r w:rsidR="004B1C85" w:rsidRPr="004B6B0C">
        <w:rPr>
          <w:lang w:val="en-US"/>
        </w:rPr>
        <w:t xml:space="preserve"> </w:t>
      </w:r>
      <w:r w:rsidR="00765D59" w:rsidRPr="004B6B0C">
        <w:rPr>
          <w:lang w:val="en-US"/>
        </w:rPr>
        <w:t xml:space="preserve"> Contrary to much of the conventional wisdom that prioritizes treaties, we illustrate </w:t>
      </w:r>
      <w:r w:rsidR="008F41DD" w:rsidRPr="004B6B0C">
        <w:rPr>
          <w:lang w:val="en-US"/>
        </w:rPr>
        <w:t xml:space="preserve">that a </w:t>
      </w:r>
      <w:r w:rsidR="005418A7">
        <w:rPr>
          <w:lang w:val="en-US"/>
        </w:rPr>
        <w:t>non-binding</w:t>
      </w:r>
      <w:r w:rsidR="008F41DD" w:rsidRPr="004B6B0C">
        <w:rPr>
          <w:lang w:val="en-US"/>
        </w:rPr>
        <w:t xml:space="preserve"> instrument – the Paris Principles – can have very significant effects on state behavior. </w:t>
      </w:r>
      <w:r w:rsidR="00304F67">
        <w:rPr>
          <w:lang w:val="en-US"/>
        </w:rPr>
        <w:t xml:space="preserve"> </w:t>
      </w:r>
      <w:r w:rsidR="008F41DD" w:rsidRPr="004B6B0C">
        <w:rPr>
          <w:rFonts w:cs="Times New Roman"/>
          <w:lang w:val="en-US"/>
        </w:rPr>
        <w:t>In so doing, we add new empirical evidence to a growing literature that questions the priority international law scholars have traditionally placed on legally</w:t>
      </w:r>
      <w:r w:rsidR="005A0C14" w:rsidRPr="004B6B0C">
        <w:rPr>
          <w:rFonts w:cs="Times New Roman"/>
          <w:lang w:val="en-US"/>
        </w:rPr>
        <w:t xml:space="preserve"> binding instruments</w:t>
      </w:r>
      <w:r w:rsidR="008F41DD" w:rsidRPr="004B6B0C">
        <w:rPr>
          <w:rFonts w:cs="Times New Roman"/>
          <w:lang w:val="en-US"/>
        </w:rPr>
        <w:t>.</w:t>
      </w:r>
      <w:r w:rsidR="008F41DD" w:rsidRPr="004B6B0C">
        <w:rPr>
          <w:rStyle w:val="FootnoteReference"/>
          <w:rFonts w:cs="Times New Roman"/>
          <w:lang w:val="en-US"/>
        </w:rPr>
        <w:footnoteReference w:id="5"/>
      </w:r>
      <w:r w:rsidR="00765D59" w:rsidRPr="004B6B0C">
        <w:rPr>
          <w:lang w:val="en-US"/>
        </w:rPr>
        <w:t xml:space="preserve"> We also investigate empirically whether legal precision matters</w:t>
      </w:r>
      <w:r w:rsidR="005A0C14" w:rsidRPr="004B6B0C">
        <w:rPr>
          <w:lang w:val="en-US"/>
        </w:rPr>
        <w:t xml:space="preserve">. </w:t>
      </w:r>
      <w:r w:rsidR="00765D59" w:rsidRPr="004B6B0C">
        <w:rPr>
          <w:lang w:val="en-US"/>
        </w:rPr>
        <w:t xml:space="preserve"> </w:t>
      </w:r>
      <w:r w:rsidR="005A0C14" w:rsidRPr="004B6B0C">
        <w:rPr>
          <w:lang w:val="en-US"/>
        </w:rPr>
        <w:t xml:space="preserve">Prominent international law theorists have </w:t>
      </w:r>
      <w:r w:rsidR="00AE316E" w:rsidRPr="004B6B0C">
        <w:rPr>
          <w:lang w:val="en-US"/>
        </w:rPr>
        <w:t xml:space="preserve">long </w:t>
      </w:r>
      <w:r w:rsidR="005A0C14" w:rsidRPr="004B6B0C">
        <w:rPr>
          <w:lang w:val="en-US"/>
        </w:rPr>
        <w:t xml:space="preserve">argued </w:t>
      </w:r>
      <w:r w:rsidR="00AE316E" w:rsidRPr="004B6B0C">
        <w:rPr>
          <w:lang w:val="en-US"/>
        </w:rPr>
        <w:t>precision is critical in triggering compliance</w:t>
      </w:r>
      <w:r w:rsidR="005A0C14" w:rsidRPr="004B6B0C">
        <w:rPr>
          <w:lang w:val="en-US"/>
        </w:rPr>
        <w:t>, but</w:t>
      </w:r>
      <w:r w:rsidR="00AE316E" w:rsidRPr="004B6B0C">
        <w:rPr>
          <w:lang w:val="en-US"/>
        </w:rPr>
        <w:t xml:space="preserve"> international relations scholars have contested this.</w:t>
      </w:r>
      <w:r w:rsidR="00AE316E" w:rsidRPr="004B6B0C">
        <w:rPr>
          <w:rStyle w:val="FootnoteReference"/>
          <w:lang w:val="en-US"/>
        </w:rPr>
        <w:footnoteReference w:id="6"/>
      </w:r>
      <w:r w:rsidR="00AE316E" w:rsidRPr="004B6B0C">
        <w:rPr>
          <w:lang w:val="en-US"/>
        </w:rPr>
        <w:t xml:space="preserve"> </w:t>
      </w:r>
      <w:r w:rsidR="00047ADF">
        <w:rPr>
          <w:lang w:val="en-US"/>
        </w:rPr>
        <w:t>To date, we have little empirical data on this debate</w:t>
      </w:r>
      <w:r w:rsidR="005A0C14" w:rsidRPr="004B6B0C">
        <w:rPr>
          <w:lang w:val="en-US"/>
        </w:rPr>
        <w:t>.</w:t>
      </w:r>
      <w:r w:rsidR="00765D59" w:rsidRPr="004B6B0C">
        <w:rPr>
          <w:lang w:val="en-US"/>
        </w:rPr>
        <w:t xml:space="preserve"> </w:t>
      </w:r>
      <w:r w:rsidR="00EC174A" w:rsidRPr="004B6B0C">
        <w:rPr>
          <w:rFonts w:cs="Times New Roman"/>
          <w:lang w:val="en-US"/>
        </w:rPr>
        <w:t xml:space="preserve">The </w:t>
      </w:r>
      <w:r w:rsidR="007C639A">
        <w:rPr>
          <w:rFonts w:cs="Times New Roman"/>
          <w:lang w:val="en-US"/>
        </w:rPr>
        <w:t xml:space="preserve">paper </w:t>
      </w:r>
      <w:r w:rsidR="00AE316E" w:rsidRPr="004B6B0C">
        <w:rPr>
          <w:rFonts w:cs="Times New Roman"/>
          <w:lang w:val="en-US"/>
        </w:rPr>
        <w:t>gets us started on</w:t>
      </w:r>
      <w:r w:rsidR="00EC174A" w:rsidRPr="004B6B0C">
        <w:rPr>
          <w:rFonts w:cs="Times New Roman"/>
          <w:lang w:val="en-US"/>
        </w:rPr>
        <w:t xml:space="preserve"> this task by setting out an innovative three-fold categorization of design features contained within the Paris Pri</w:t>
      </w:r>
      <w:r w:rsidR="005418A7">
        <w:rPr>
          <w:rFonts w:cs="Times New Roman"/>
          <w:lang w:val="en-US"/>
        </w:rPr>
        <w:t xml:space="preserve">nciples. </w:t>
      </w:r>
      <w:r w:rsidR="00E11FDA">
        <w:rPr>
          <w:rFonts w:cs="Times New Roman"/>
          <w:lang w:val="en-US"/>
        </w:rPr>
        <w:t xml:space="preserve"> </w:t>
      </w:r>
      <w:r w:rsidR="005418A7">
        <w:rPr>
          <w:rFonts w:cs="Times New Roman"/>
          <w:lang w:val="en-US"/>
        </w:rPr>
        <w:t xml:space="preserve">This categorization distinguishes strongly recommended features from weakly and vaguely recommended features and from features omitted from the final text of </w:t>
      </w:r>
      <w:r w:rsidR="005418A7">
        <w:rPr>
          <w:rFonts w:cs="Times New Roman"/>
          <w:lang w:val="en-US"/>
        </w:rPr>
        <w:lastRenderedPageBreak/>
        <w:t>the Paris Principles</w:t>
      </w:r>
      <w:r w:rsidR="00EC174A" w:rsidRPr="004B6B0C">
        <w:rPr>
          <w:rFonts w:cs="Times New Roman"/>
          <w:lang w:val="en-US"/>
        </w:rPr>
        <w:t xml:space="preserve">.  </w:t>
      </w:r>
      <w:r w:rsidR="003B7401" w:rsidRPr="004B6B0C">
        <w:rPr>
          <w:rFonts w:cs="Times New Roman"/>
          <w:lang w:val="en-US"/>
        </w:rPr>
        <w:t>We note a</w:t>
      </w:r>
      <w:r w:rsidR="00EC174A" w:rsidRPr="004B6B0C">
        <w:rPr>
          <w:rFonts w:cs="Times New Roman"/>
          <w:lang w:val="en-US"/>
        </w:rPr>
        <w:t xml:space="preserve"> significant increase in the prevalence of strongly recommended design principles among those NHRIs created post-1993</w:t>
      </w:r>
      <w:r w:rsidR="003B7401" w:rsidRPr="004B6B0C">
        <w:rPr>
          <w:rFonts w:cs="Times New Roman"/>
          <w:lang w:val="en-US"/>
        </w:rPr>
        <w:t>, but see no similar increase in design features that were weakly recommended or not recommended at all</w:t>
      </w:r>
      <w:r w:rsidR="00EC174A" w:rsidRPr="004B6B0C">
        <w:rPr>
          <w:rFonts w:cs="Times New Roman"/>
          <w:lang w:val="en-US"/>
        </w:rPr>
        <w:t>.  I</w:t>
      </w:r>
      <w:r w:rsidR="003B7401" w:rsidRPr="004B6B0C">
        <w:rPr>
          <w:rFonts w:cs="Times New Roman"/>
          <w:lang w:val="en-US"/>
        </w:rPr>
        <w:t xml:space="preserve">n </w:t>
      </w:r>
      <w:r w:rsidR="00EC174A" w:rsidRPr="004B6B0C">
        <w:rPr>
          <w:rFonts w:cs="Times New Roman"/>
          <w:lang w:val="en-US"/>
        </w:rPr>
        <w:t>a political context of competing NHRI models</w:t>
      </w:r>
      <w:r w:rsidR="003B7401" w:rsidRPr="004B6B0C">
        <w:rPr>
          <w:rFonts w:cs="Times New Roman"/>
          <w:lang w:val="en-US"/>
        </w:rPr>
        <w:t>, the official validation of certain design features contributes to their diffusion. In contrast, debates resolved through vague and weak recommendations do little to contribute to NHRI institutional design.</w:t>
      </w:r>
      <w:r w:rsidR="005418A7">
        <w:rPr>
          <w:rFonts w:cs="Times New Roman"/>
          <w:lang w:val="en-US"/>
        </w:rPr>
        <w:t xml:space="preserve"> </w:t>
      </w:r>
      <w:r w:rsidR="00E11FDA">
        <w:rPr>
          <w:rFonts w:cs="Times New Roman"/>
          <w:lang w:val="en-US"/>
        </w:rPr>
        <w:t xml:space="preserve"> </w:t>
      </w:r>
      <w:r w:rsidR="005418A7">
        <w:rPr>
          <w:rFonts w:cs="Times New Roman"/>
          <w:lang w:val="en-US"/>
        </w:rPr>
        <w:t>Thus, our contribution to the legalization literature is twofold: we suggest that non-binding agreements can have important effects, and that legal precision matters even in non-binding agreements.</w:t>
      </w:r>
    </w:p>
    <w:p w:rsidR="00EC174A" w:rsidRPr="004B6B0C" w:rsidRDefault="00EC174A" w:rsidP="00B77ED3">
      <w:pPr>
        <w:jc w:val="both"/>
        <w:rPr>
          <w:rFonts w:cs="Times New Roman"/>
          <w:lang w:val="en-US"/>
        </w:rPr>
      </w:pPr>
    </w:p>
    <w:p w:rsidR="00EC174A" w:rsidRPr="004B6B0C" w:rsidRDefault="00047ADF" w:rsidP="00B77ED3">
      <w:pPr>
        <w:jc w:val="both"/>
        <w:rPr>
          <w:rFonts w:cs="Times New Roman"/>
          <w:lang w:val="en-US"/>
        </w:rPr>
      </w:pPr>
      <w:r>
        <w:rPr>
          <w:rFonts w:cs="Times New Roman"/>
          <w:lang w:val="en-US"/>
        </w:rPr>
        <w:t>While the Paris Principles contributed to the worldwide adoption and design of NHRIs</w:t>
      </w:r>
      <w:r w:rsidR="00EC174A" w:rsidRPr="004B6B0C">
        <w:rPr>
          <w:rFonts w:cs="Times New Roman"/>
          <w:lang w:val="en-US"/>
        </w:rPr>
        <w:t>, the</w:t>
      </w:r>
      <w:r>
        <w:rPr>
          <w:rFonts w:cs="Times New Roman"/>
          <w:lang w:val="en-US"/>
        </w:rPr>
        <w:t>se</w:t>
      </w:r>
      <w:r w:rsidR="00EC174A" w:rsidRPr="004B6B0C">
        <w:rPr>
          <w:rFonts w:cs="Times New Roman"/>
          <w:lang w:val="en-US"/>
        </w:rPr>
        <w:t xml:space="preserve"> diffusion effects are not uniform across the globe.  In fact, we find that there is significant variation of NHRI structures according to regions.  This is consistent with </w:t>
      </w:r>
      <w:r w:rsidR="004A03FF">
        <w:rPr>
          <w:rFonts w:cs="Times New Roman"/>
          <w:lang w:val="en-US"/>
        </w:rPr>
        <w:t xml:space="preserve">social science </w:t>
      </w:r>
      <w:r w:rsidR="00EC174A" w:rsidRPr="004B6B0C">
        <w:rPr>
          <w:rFonts w:cs="Times New Roman"/>
          <w:lang w:val="en-US"/>
        </w:rPr>
        <w:t xml:space="preserve">scholarship that suggests regional diffusion may play an important independent role in state compliance </w:t>
      </w:r>
      <w:r w:rsidR="00EC174A" w:rsidRPr="004B6B0C">
        <w:rPr>
          <w:lang w:val="en-US"/>
        </w:rPr>
        <w:t>with international norms</w:t>
      </w:r>
      <w:r w:rsidR="001E2939">
        <w:rPr>
          <w:lang w:val="en-US"/>
        </w:rPr>
        <w:t xml:space="preserve"> (Simmons 2002; Pevehouse 2005)</w:t>
      </w:r>
      <w:r w:rsidR="00EC174A" w:rsidRPr="004B6B0C">
        <w:rPr>
          <w:lang w:val="en-US"/>
        </w:rPr>
        <w:t>.  Our findings suggest that transmission of NHRI norms may also occur through highly organized regional human rights networks.  Where a strong regional NHRI model exists, States may borrow design features from similarly constituted states within regional referent groups to supplement the Paris Principles’ prescriptions.  We also find some more unusual lines of pan-regional influence across NHRI models and the incremental development of design features in response to learning</w:t>
      </w:r>
      <w:r w:rsidR="003B7401" w:rsidRPr="004B6B0C">
        <w:rPr>
          <w:lang w:val="en-US"/>
        </w:rPr>
        <w:t xml:space="preserve"> and emulation</w:t>
      </w:r>
      <w:r w:rsidR="00EC174A" w:rsidRPr="004B6B0C">
        <w:rPr>
          <w:lang w:val="en-US"/>
        </w:rPr>
        <w:t xml:space="preserve"> processes.  Regional diffusion effects on NHRI design may have significant consequences for the performance of resulting institutions, with the potential to enhance NHRI formal autonomy and powers above or beyond the baseline offered by the Paris Principles.  This raises a crucial question, namely, has pressure from the UN led to the creation of effective NHRIs or rather promoted sub-optimal NHRI models?  Successful regional models combined with country-to-country diffusion may be an important additive to international pressure in realizing effective NHRIs.</w:t>
      </w:r>
      <w:r w:rsidR="00EC174A" w:rsidRPr="004B6B0C">
        <w:rPr>
          <w:rStyle w:val="FootnoteReference"/>
          <w:lang w:val="en-US"/>
        </w:rPr>
        <w:footnoteReference w:id="7"/>
      </w:r>
    </w:p>
    <w:p w:rsidR="00EC174A" w:rsidRPr="004B6B0C" w:rsidRDefault="00EC174A" w:rsidP="00B77ED3">
      <w:pPr>
        <w:jc w:val="both"/>
        <w:rPr>
          <w:rFonts w:cs="Times New Roman"/>
          <w:lang w:val="en-US"/>
        </w:rPr>
      </w:pPr>
    </w:p>
    <w:p w:rsidR="00EC174A" w:rsidRPr="00823462" w:rsidRDefault="005418A7" w:rsidP="00B77ED3">
      <w:pPr>
        <w:tabs>
          <w:tab w:val="left" w:pos="3330"/>
        </w:tabs>
        <w:jc w:val="both"/>
        <w:rPr>
          <w:rFonts w:cs="Times New Roman"/>
          <w:lang w:val="en-US"/>
        </w:rPr>
      </w:pPr>
      <w:r>
        <w:rPr>
          <w:rFonts w:cs="Times New Roman"/>
          <w:lang w:val="en-US"/>
        </w:rPr>
        <w:t>We also examine how States’ integration within the</w:t>
      </w:r>
      <w:r w:rsidR="00EC174A" w:rsidRPr="004B6B0C">
        <w:rPr>
          <w:rFonts w:cs="Times New Roman"/>
          <w:lang w:val="en-US"/>
        </w:rPr>
        <w:t xml:space="preserve"> international human rights </w:t>
      </w:r>
      <w:r>
        <w:rPr>
          <w:rFonts w:cs="Times New Roman"/>
          <w:lang w:val="en-US"/>
        </w:rPr>
        <w:t>system influences the type of NHRI they build.</w:t>
      </w:r>
      <w:r w:rsidR="00EC174A" w:rsidRPr="004B6B0C">
        <w:rPr>
          <w:rFonts w:cs="Times New Roman"/>
          <w:lang w:val="en-US"/>
        </w:rPr>
        <w:t xml:space="preserve"> </w:t>
      </w:r>
      <w:r w:rsidR="00E11FDA">
        <w:rPr>
          <w:rFonts w:cs="Times New Roman"/>
          <w:lang w:val="en-US"/>
        </w:rPr>
        <w:t xml:space="preserve"> </w:t>
      </w:r>
      <w:r w:rsidR="00EC174A" w:rsidRPr="004B6B0C">
        <w:rPr>
          <w:rFonts w:cs="Times New Roman"/>
          <w:lang w:val="en-US"/>
        </w:rPr>
        <w:t>NHRIs are increasingly embedde</w:t>
      </w:r>
      <w:r>
        <w:rPr>
          <w:rFonts w:cs="Times New Roman"/>
          <w:lang w:val="en-US"/>
        </w:rPr>
        <w:t>d within UN processes.  R</w:t>
      </w:r>
      <w:r w:rsidR="00EC174A" w:rsidRPr="004B6B0C">
        <w:rPr>
          <w:rFonts w:cs="Times New Roman"/>
          <w:lang w:val="en-US"/>
        </w:rPr>
        <w:t xml:space="preserve">ecent innovations in human rights treaties assign an explicit role in treaty implementation to such national-level institutions (Carver 2010). </w:t>
      </w:r>
      <w:r w:rsidR="00E11FDA">
        <w:rPr>
          <w:rFonts w:cs="Times New Roman"/>
          <w:lang w:val="en-US"/>
        </w:rPr>
        <w:t xml:space="preserve"> </w:t>
      </w:r>
      <w:r w:rsidR="00EC174A" w:rsidRPr="00823462">
        <w:rPr>
          <w:rFonts w:cs="Times New Roman"/>
          <w:lang w:val="en-US"/>
        </w:rPr>
        <w:t xml:space="preserve">Growing interaction is occurring within UN and regional </w:t>
      </w:r>
      <w:r w:rsidR="00447920">
        <w:rPr>
          <w:rFonts w:cs="Times New Roman"/>
          <w:lang w:val="en-US"/>
        </w:rPr>
        <w:t xml:space="preserve">intergovernmental organizations </w:t>
      </w:r>
      <w:r w:rsidR="00EC174A" w:rsidRPr="00823462">
        <w:rPr>
          <w:rFonts w:cs="Times New Roman"/>
          <w:lang w:val="en-US"/>
        </w:rPr>
        <w:t xml:space="preserve">with NHRIs viewed ideally as an independent, if governmental, human rights authority.  </w:t>
      </w:r>
      <w:r>
        <w:rPr>
          <w:rFonts w:cs="Times New Roman"/>
          <w:lang w:val="en-US"/>
        </w:rPr>
        <w:t xml:space="preserve">Our </w:t>
      </w:r>
      <w:r w:rsidR="007C639A">
        <w:rPr>
          <w:rFonts w:cs="Times New Roman"/>
          <w:lang w:val="en-US"/>
        </w:rPr>
        <w:t>initial</w:t>
      </w:r>
      <w:r>
        <w:rPr>
          <w:rFonts w:cs="Times New Roman"/>
          <w:lang w:val="en-US"/>
        </w:rPr>
        <w:t xml:space="preserve"> results suggest that the Paris Principles influenced both countries strongly integrated in the human rights treaty system, and countries at the periphery of this system.</w:t>
      </w:r>
    </w:p>
    <w:p w:rsidR="001E74B6" w:rsidRDefault="001E74B6" w:rsidP="00B77ED3">
      <w:pPr>
        <w:tabs>
          <w:tab w:val="left" w:pos="0"/>
        </w:tabs>
        <w:jc w:val="both"/>
        <w:rPr>
          <w:rFonts w:cs="Times New Roman"/>
          <w:szCs w:val="24"/>
          <w:lang w:val="en-US"/>
        </w:rPr>
      </w:pPr>
    </w:p>
    <w:p w:rsidR="001E74B6" w:rsidRPr="001E74B6" w:rsidRDefault="001E74B6" w:rsidP="00B77ED3">
      <w:pPr>
        <w:tabs>
          <w:tab w:val="left" w:pos="0"/>
        </w:tabs>
        <w:jc w:val="both"/>
        <w:rPr>
          <w:rFonts w:cs="Times New Roman"/>
          <w:b/>
          <w:szCs w:val="24"/>
          <w:lang w:val="en-US"/>
        </w:rPr>
      </w:pPr>
      <w:r w:rsidRPr="001E74B6">
        <w:rPr>
          <w:rFonts w:cs="Times New Roman"/>
          <w:b/>
          <w:szCs w:val="24"/>
          <w:lang w:val="en-US"/>
        </w:rPr>
        <w:t>Bibliography</w:t>
      </w:r>
    </w:p>
    <w:p w:rsidR="00FB4A37" w:rsidRPr="00FB4A37" w:rsidRDefault="00FB4A37" w:rsidP="00FB4A37">
      <w:pPr>
        <w:tabs>
          <w:tab w:val="left" w:pos="0"/>
        </w:tabs>
        <w:spacing w:after="60"/>
        <w:jc w:val="both"/>
        <w:rPr>
          <w:rFonts w:cs="Times New Roman"/>
          <w:sz w:val="28"/>
          <w:szCs w:val="24"/>
          <w:lang w:val="en-US"/>
        </w:rPr>
      </w:pPr>
    </w:p>
    <w:p w:rsidR="00FB4A37" w:rsidRPr="00FB4A37" w:rsidRDefault="00FB4A37" w:rsidP="00FB4A37">
      <w:pPr>
        <w:spacing w:after="60"/>
        <w:ind w:left="288" w:hanging="288"/>
        <w:jc w:val="both"/>
      </w:pPr>
      <w:r w:rsidRPr="00FB4A37">
        <w:t xml:space="preserve">Abbott, Kenneth W., Robert O. Keohane, Andrew Moravcsik, Anne-Mare Slaughter, &amp; Duncan Snidal, “The Concept of Legalization,” </w:t>
      </w:r>
      <w:r w:rsidRPr="00FB4A37">
        <w:rPr>
          <w:i/>
        </w:rPr>
        <w:t>International Organization</w:t>
      </w:r>
      <w:r w:rsidRPr="00FB4A37">
        <w:t xml:space="preserve"> 54 (2000), 401-419</w:t>
      </w:r>
    </w:p>
    <w:p w:rsidR="00FB4A37" w:rsidRPr="00FB4A37" w:rsidRDefault="00FB4A37" w:rsidP="00FB4A37">
      <w:pPr>
        <w:spacing w:after="60"/>
        <w:ind w:left="288" w:hanging="288"/>
        <w:jc w:val="both"/>
      </w:pPr>
      <w:r w:rsidRPr="00FB4A37">
        <w:t xml:space="preserve">Burdekin, Brian, with Jason Naum, </w:t>
      </w:r>
      <w:r w:rsidRPr="00FB4A37">
        <w:rPr>
          <w:i/>
        </w:rPr>
        <w:t>National Human Rights Institutions in the Asia-Pacific Region</w:t>
      </w:r>
      <w:r w:rsidRPr="00FB4A37">
        <w:t xml:space="preserve"> (The Netherlands: Martinus Nijhoff Publishers, 2007)</w:t>
      </w:r>
    </w:p>
    <w:p w:rsidR="00FB4A37" w:rsidRPr="00FB4A37" w:rsidRDefault="00FB4A37" w:rsidP="00FB4A37">
      <w:pPr>
        <w:spacing w:after="60"/>
        <w:ind w:left="288" w:hanging="288"/>
        <w:jc w:val="both"/>
      </w:pPr>
      <w:r w:rsidRPr="00FB4A37">
        <w:lastRenderedPageBreak/>
        <w:t xml:space="preserve">Carver, Richard, “A new answer to an old question: national human rights institutions and the domestication of international law,” </w:t>
      </w:r>
      <w:r w:rsidRPr="00FB4A37">
        <w:rPr>
          <w:i/>
        </w:rPr>
        <w:t>Human Rights Law Review</w:t>
      </w:r>
      <w:r w:rsidRPr="00FB4A37">
        <w:t xml:space="preserve"> 10 (2010), 1-32</w:t>
      </w:r>
    </w:p>
    <w:p w:rsidR="00FB4A37" w:rsidRPr="00FB4A37" w:rsidRDefault="00FB4A37" w:rsidP="00FB4A37">
      <w:pPr>
        <w:spacing w:after="60"/>
        <w:ind w:left="288" w:hanging="288"/>
        <w:jc w:val="both"/>
      </w:pPr>
      <w:r w:rsidRPr="00FB4A37">
        <w:t xml:space="preserve">Abram Chayes &amp; Antonia Handler Chayes, “On Compliance,” </w:t>
      </w:r>
      <w:r w:rsidRPr="00FB4A37">
        <w:rPr>
          <w:i/>
        </w:rPr>
        <w:t>International Organization</w:t>
      </w:r>
      <w:r w:rsidRPr="00FB4A37">
        <w:t xml:space="preserve"> 47 (1993), 175-205</w:t>
      </w:r>
    </w:p>
    <w:p w:rsidR="00FB4A37" w:rsidRPr="00FB4A37" w:rsidRDefault="00FB4A37" w:rsidP="00FB4A37">
      <w:pPr>
        <w:spacing w:after="60"/>
        <w:ind w:left="288" w:hanging="288"/>
        <w:jc w:val="both"/>
      </w:pPr>
      <w:r w:rsidRPr="00FB4A37">
        <w:t xml:space="preserve">Di Robilant, Anna, “Genealogies of Soft Law,” </w:t>
      </w:r>
      <w:r w:rsidRPr="009615D1">
        <w:rPr>
          <w:i/>
        </w:rPr>
        <w:t>The American Journal of Comparative Law</w:t>
      </w:r>
      <w:r w:rsidRPr="00FB4A37">
        <w:t xml:space="preserve"> 54 (2006), 499-554</w:t>
      </w:r>
    </w:p>
    <w:p w:rsidR="00FB4A37" w:rsidRPr="00FB4A37" w:rsidRDefault="00FB4A37" w:rsidP="00FB4A37">
      <w:pPr>
        <w:spacing w:after="60"/>
        <w:ind w:left="288" w:hanging="288"/>
        <w:jc w:val="both"/>
      </w:pPr>
      <w:r w:rsidRPr="00FB4A37">
        <w:t xml:space="preserve">Franck, Thomas M., </w:t>
      </w:r>
      <w:proofErr w:type="gramStart"/>
      <w:r w:rsidRPr="00FB4A37">
        <w:rPr>
          <w:i/>
        </w:rPr>
        <w:t>The</w:t>
      </w:r>
      <w:proofErr w:type="gramEnd"/>
      <w:r w:rsidRPr="00FB4A37">
        <w:rPr>
          <w:i/>
        </w:rPr>
        <w:t xml:space="preserve"> Power of Legitimacy Among Nations</w:t>
      </w:r>
      <w:r w:rsidRPr="00FB4A37">
        <w:t xml:space="preserve"> (Oxford: Oxford University Press, 1990)</w:t>
      </w:r>
    </w:p>
    <w:p w:rsidR="00FB4A37" w:rsidRPr="00FB4A37" w:rsidRDefault="00FB4A37" w:rsidP="00FB4A37">
      <w:pPr>
        <w:spacing w:after="60"/>
        <w:ind w:left="288" w:hanging="288"/>
        <w:jc w:val="both"/>
      </w:pPr>
      <w:proofErr w:type="spellStart"/>
      <w:r w:rsidRPr="00FB4A37">
        <w:t>Gersen</w:t>
      </w:r>
      <w:proofErr w:type="spellEnd"/>
      <w:r w:rsidRPr="00FB4A37">
        <w:t xml:space="preserve">, Jacob E. &amp; Eric Posner, “Soft Law: Lessons from Congressional Practice,” </w:t>
      </w:r>
      <w:r w:rsidRPr="009615D1">
        <w:rPr>
          <w:i/>
        </w:rPr>
        <w:t>Stanford Law Review</w:t>
      </w:r>
      <w:r w:rsidRPr="00FB4A37">
        <w:t xml:space="preserve"> 61 (2008), 573-628</w:t>
      </w:r>
    </w:p>
    <w:p w:rsidR="00FB4A37" w:rsidRPr="00FB4A37" w:rsidRDefault="00FB4A37" w:rsidP="00FB4A37">
      <w:pPr>
        <w:spacing w:after="60"/>
        <w:ind w:left="288" w:hanging="288"/>
        <w:jc w:val="both"/>
      </w:pPr>
      <w:r w:rsidRPr="00FB4A37">
        <w:t xml:space="preserve">Goodman, Ryan and Thomas Pegram (eds.), </w:t>
      </w:r>
      <w:r w:rsidRPr="00FB4A37">
        <w:rPr>
          <w:i/>
        </w:rPr>
        <w:t>Human Rights, State Compliance, and Social Change: Assessing National Human Rights Institutions</w:t>
      </w:r>
      <w:r w:rsidRPr="00FB4A37">
        <w:t xml:space="preserve"> (New York: Cambridge University Press, forthcoming 2011)</w:t>
      </w:r>
    </w:p>
    <w:p w:rsidR="00FB4A37" w:rsidRPr="00FB4A37" w:rsidRDefault="00FB4A37" w:rsidP="00FB4A37">
      <w:pPr>
        <w:spacing w:after="60"/>
        <w:ind w:left="288" w:hanging="288"/>
        <w:jc w:val="both"/>
      </w:pPr>
      <w:r w:rsidRPr="00FB4A37">
        <w:t xml:space="preserve">Goodman, Ryan and Derek Jinks, “How to Influence States: Socialization and International Human Rights Law,” </w:t>
      </w:r>
      <w:r w:rsidRPr="009615D1">
        <w:rPr>
          <w:i/>
        </w:rPr>
        <w:t>Duke Law Journal</w:t>
      </w:r>
      <w:r w:rsidRPr="00FB4A37">
        <w:t xml:space="preserve"> 54 (2004), 621-703</w:t>
      </w:r>
    </w:p>
    <w:p w:rsidR="00FB4A37" w:rsidRPr="00FB4A37" w:rsidRDefault="00FB4A37" w:rsidP="00FB4A37">
      <w:pPr>
        <w:spacing w:after="60"/>
        <w:ind w:left="288" w:hanging="288"/>
        <w:jc w:val="both"/>
      </w:pPr>
      <w:r w:rsidRPr="00FB4A37">
        <w:t xml:space="preserve">Guzman, Andrew T.  </w:t>
      </w:r>
      <w:proofErr w:type="gramStart"/>
      <w:r w:rsidRPr="00FB4A37">
        <w:t>and</w:t>
      </w:r>
      <w:proofErr w:type="gramEnd"/>
      <w:r w:rsidRPr="00FB4A37">
        <w:t xml:space="preserve"> Timothy L. Meyer, “International Soft Law” </w:t>
      </w:r>
      <w:r w:rsidRPr="00FB4A37">
        <w:rPr>
          <w:i/>
        </w:rPr>
        <w:t>Journal of Legal Analysis</w:t>
      </w:r>
      <w:r w:rsidRPr="00FB4A37">
        <w:t xml:space="preserve"> (2010). http://works.bepress.com/timothy_meyer/5 </w:t>
      </w:r>
    </w:p>
    <w:p w:rsidR="00FB4A37" w:rsidRPr="00FB4A37" w:rsidRDefault="00FB4A37" w:rsidP="00FB4A37">
      <w:pPr>
        <w:spacing w:after="60"/>
        <w:ind w:left="288" w:hanging="288"/>
        <w:jc w:val="both"/>
      </w:pPr>
      <w:r w:rsidRPr="00FB4A37">
        <w:t xml:space="preserve">Linos, Katerina, “Diffusion through Democracy,” </w:t>
      </w:r>
      <w:r w:rsidRPr="00FB4A37">
        <w:rPr>
          <w:i/>
        </w:rPr>
        <w:t>American Journal of Political Science</w:t>
      </w:r>
      <w:r w:rsidRPr="00FB4A37">
        <w:t xml:space="preserve"> (forthcoming 2011)</w:t>
      </w:r>
    </w:p>
    <w:p w:rsidR="00FB4A37" w:rsidRPr="00FB4A37" w:rsidRDefault="00FB4A37" w:rsidP="00FB4A37">
      <w:pPr>
        <w:spacing w:after="60"/>
        <w:ind w:left="288" w:hanging="288"/>
        <w:jc w:val="both"/>
      </w:pPr>
      <w:r w:rsidRPr="00FB4A37">
        <w:t xml:space="preserve">Mertus, Julie, </w:t>
      </w:r>
      <w:r w:rsidRPr="00FB4A37">
        <w:rPr>
          <w:i/>
        </w:rPr>
        <w:t>Human Rights Matters: Local Politics and National Human Rights Institution</w:t>
      </w:r>
      <w:r w:rsidRPr="00FB4A37">
        <w:t xml:space="preserve"> (Stanford: Stanford University Press, 2009)</w:t>
      </w:r>
    </w:p>
    <w:p w:rsidR="00FB4A37" w:rsidRPr="00FB4A37" w:rsidRDefault="00FB4A37" w:rsidP="00FB4A37">
      <w:pPr>
        <w:spacing w:after="60"/>
        <w:ind w:left="288" w:hanging="288"/>
        <w:jc w:val="both"/>
      </w:pPr>
      <w:r w:rsidRPr="00FB4A37">
        <w:t xml:space="preserve">Pegram, Thomas, “Accountability in Hostile Times; the Case of the Peruvian Human Rights Ombudsman 1996-2001,” </w:t>
      </w:r>
      <w:r w:rsidRPr="00FB4A37">
        <w:rPr>
          <w:i/>
        </w:rPr>
        <w:t>Journal of Latin American Studies</w:t>
      </w:r>
      <w:r w:rsidRPr="00FB4A37">
        <w:t xml:space="preserve"> 40 (2008) 51-82</w:t>
      </w:r>
    </w:p>
    <w:p w:rsidR="00FB4A37" w:rsidRPr="00FB4A37" w:rsidRDefault="00FB4A37" w:rsidP="00FB4A37">
      <w:pPr>
        <w:spacing w:after="60"/>
        <w:ind w:left="288" w:hanging="288"/>
        <w:jc w:val="both"/>
      </w:pPr>
      <w:r w:rsidRPr="00FB4A37">
        <w:t xml:space="preserve">Pevehouse, John C., </w:t>
      </w:r>
      <w:r w:rsidRPr="00FB4A37">
        <w:rPr>
          <w:i/>
        </w:rPr>
        <w:t>Democracy From Above: Regional Organizations and Democratization</w:t>
      </w:r>
      <w:r w:rsidRPr="00FB4A37">
        <w:t xml:space="preserve"> (Wisconsin: University of Wisconsin, 2005)</w:t>
      </w:r>
    </w:p>
    <w:p w:rsidR="00FB4A37" w:rsidRPr="00FB4A37" w:rsidRDefault="00FB4A37" w:rsidP="00FB4A37">
      <w:pPr>
        <w:spacing w:after="60"/>
        <w:ind w:left="288" w:hanging="288"/>
        <w:jc w:val="both"/>
      </w:pPr>
      <w:r w:rsidRPr="00FB4A37">
        <w:t xml:space="preserve">Pohjolainen, Anna-Elina, </w:t>
      </w:r>
      <w:proofErr w:type="gramStart"/>
      <w:r w:rsidRPr="00FB4A37">
        <w:rPr>
          <w:i/>
        </w:rPr>
        <w:t>The</w:t>
      </w:r>
      <w:proofErr w:type="gramEnd"/>
      <w:r w:rsidRPr="00FB4A37">
        <w:rPr>
          <w:i/>
        </w:rPr>
        <w:t xml:space="preserve"> Evolution of National Human Rights Institutions: The Role of the United Nations</w:t>
      </w:r>
      <w:r w:rsidRPr="00FB4A37">
        <w:t xml:space="preserve"> (Copenhagen: Danish Institute for Human Rights, 2006)</w:t>
      </w:r>
    </w:p>
    <w:p w:rsidR="00FB4A37" w:rsidRPr="00FB4A37" w:rsidRDefault="00FB4A37" w:rsidP="00FB4A37">
      <w:pPr>
        <w:spacing w:after="60"/>
        <w:ind w:left="288" w:hanging="288"/>
        <w:jc w:val="both"/>
        <w:rPr>
          <w:lang w:val="es-ES"/>
        </w:rPr>
      </w:pPr>
      <w:r w:rsidRPr="00FB4A37">
        <w:t xml:space="preserve">Downs, George, David M. </w:t>
      </w:r>
      <w:proofErr w:type="spellStart"/>
      <w:r w:rsidRPr="00FB4A37">
        <w:t>Rocke</w:t>
      </w:r>
      <w:proofErr w:type="spellEnd"/>
      <w:r w:rsidRPr="00FB4A37">
        <w:t xml:space="preserve"> and Peter N. Barsoom, “Is the Good News about Compliance Good News about Cooperation?” </w:t>
      </w:r>
      <w:r w:rsidRPr="009615D1">
        <w:rPr>
          <w:i/>
          <w:lang w:val="es-ES"/>
        </w:rPr>
        <w:t>International Organization</w:t>
      </w:r>
      <w:r w:rsidRPr="00FB4A37">
        <w:rPr>
          <w:lang w:val="es-ES"/>
        </w:rPr>
        <w:t xml:space="preserve"> 50 (1996), 379-406</w:t>
      </w:r>
    </w:p>
    <w:p w:rsidR="00FB4A37" w:rsidRPr="00FB4A37" w:rsidRDefault="00FB4A37" w:rsidP="00FB4A37">
      <w:pPr>
        <w:spacing w:after="60"/>
        <w:ind w:left="288" w:hanging="288"/>
        <w:jc w:val="both"/>
        <w:rPr>
          <w:lang w:val="en-US"/>
        </w:rPr>
      </w:pPr>
      <w:r w:rsidRPr="00FB4A37">
        <w:rPr>
          <w:lang w:val="en-US"/>
        </w:rPr>
        <w:t xml:space="preserve">Shelton, Dinah (ed.) </w:t>
      </w:r>
      <w:r w:rsidRPr="00FB4A37">
        <w:rPr>
          <w:i/>
          <w:lang w:val="en-US"/>
        </w:rPr>
        <w:t>Commitment and Compliance: The Role of Non-Binding Norms in the International Legal System</w:t>
      </w:r>
      <w:r w:rsidRPr="00FB4A37">
        <w:rPr>
          <w:lang w:val="en-US"/>
        </w:rPr>
        <w:t xml:space="preserve"> (Oxford: Oxford University Press, 2000).</w:t>
      </w:r>
    </w:p>
    <w:p w:rsidR="00FB4A37" w:rsidRPr="00FB4A37" w:rsidRDefault="00FB4A37" w:rsidP="00FB4A37">
      <w:pPr>
        <w:spacing w:after="60"/>
        <w:ind w:left="288" w:hanging="288"/>
        <w:jc w:val="both"/>
      </w:pPr>
      <w:r w:rsidRPr="00FB4A37">
        <w:t xml:space="preserve">Simmons, Beth, “Why Commit? Explaining State Acceptance of International Human Rights,” </w:t>
      </w:r>
      <w:proofErr w:type="spellStart"/>
      <w:r w:rsidRPr="00FB4A37">
        <w:t>Weatherhead</w:t>
      </w:r>
      <w:proofErr w:type="spellEnd"/>
      <w:r w:rsidRPr="00FB4A37">
        <w:t xml:space="preserve"> </w:t>
      </w:r>
      <w:proofErr w:type="spellStart"/>
      <w:r w:rsidRPr="00FB4A37">
        <w:t>Center</w:t>
      </w:r>
      <w:proofErr w:type="spellEnd"/>
      <w:r w:rsidRPr="00FB4A37">
        <w:t xml:space="preserve"> for International Affairs, Harvard University, 28 (2002). http://w</w:t>
      </w:r>
      <w:r w:rsidR="009615D1">
        <w:t>ww.wcfia.harvard.edu/node/693.</w:t>
      </w:r>
    </w:p>
    <w:p w:rsidR="00FB4A37" w:rsidRPr="00FB4A37" w:rsidRDefault="00FB4A37" w:rsidP="00FB4A37">
      <w:pPr>
        <w:tabs>
          <w:tab w:val="left" w:pos="1607"/>
        </w:tabs>
        <w:spacing w:after="60"/>
        <w:ind w:left="288" w:hanging="288"/>
        <w:jc w:val="both"/>
      </w:pPr>
      <w:r w:rsidRPr="00FB4A37">
        <w:t xml:space="preserve">Uggla, Fredrik, “The Ombudsman in Latin America,” </w:t>
      </w:r>
      <w:r w:rsidRPr="00FB4A37">
        <w:rPr>
          <w:i/>
        </w:rPr>
        <w:t>Journal of Latin American Studies</w:t>
      </w:r>
      <w:r w:rsidRPr="00FB4A37">
        <w:t xml:space="preserve"> 36 (2004), 423-450</w:t>
      </w:r>
    </w:p>
    <w:p w:rsidR="00FB4A37" w:rsidRPr="009615D1" w:rsidRDefault="00FB4A37" w:rsidP="009615D1">
      <w:pPr>
        <w:spacing w:after="60"/>
        <w:ind w:left="288" w:hanging="288"/>
        <w:jc w:val="both"/>
        <w:rPr>
          <w:sz w:val="22"/>
        </w:rPr>
      </w:pPr>
      <w:r w:rsidRPr="00FB4A37">
        <w:t xml:space="preserve">United Nations, </w:t>
      </w:r>
      <w:r w:rsidRPr="00FB4A37">
        <w:rPr>
          <w:i/>
        </w:rPr>
        <w:t>National Human Rights Institutions: A Handbook on the Establishment and Strengthening of National Institutions for the Promotion and Protection of Human Rights</w:t>
      </w:r>
      <w:r w:rsidRPr="00FB4A37">
        <w:t xml:space="preserve"> (New York: UN, 1995)</w:t>
      </w:r>
    </w:p>
    <w:sectPr w:rsidR="00FB4A37" w:rsidRPr="009615D1" w:rsidSect="008101F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66F" w:rsidRDefault="005C166F" w:rsidP="00775F00">
      <w:r>
        <w:separator/>
      </w:r>
    </w:p>
  </w:endnote>
  <w:endnote w:type="continuationSeparator" w:id="0">
    <w:p w:rsidR="005C166F" w:rsidRDefault="005C166F" w:rsidP="00775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69381"/>
      <w:docPartObj>
        <w:docPartGallery w:val="Page Numbers (Bottom of Page)"/>
        <w:docPartUnique/>
      </w:docPartObj>
    </w:sdtPr>
    <w:sdtEndPr>
      <w:rPr>
        <w:noProof/>
      </w:rPr>
    </w:sdtEndPr>
    <w:sdtContent>
      <w:p w:rsidR="002A190A" w:rsidRDefault="0017703E">
        <w:pPr>
          <w:pStyle w:val="Footer"/>
          <w:jc w:val="center"/>
        </w:pPr>
        <w:fldSimple w:instr=" PAGE   \* MERGEFORMAT ">
          <w:r w:rsidR="00A13B69">
            <w:rPr>
              <w:noProof/>
            </w:rPr>
            <w:t>3</w:t>
          </w:r>
        </w:fldSimple>
      </w:p>
    </w:sdtContent>
  </w:sdt>
  <w:p w:rsidR="002A190A" w:rsidRDefault="002A19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66F" w:rsidRDefault="005C166F" w:rsidP="00775F00">
      <w:r>
        <w:separator/>
      </w:r>
    </w:p>
  </w:footnote>
  <w:footnote w:type="continuationSeparator" w:id="0">
    <w:p w:rsidR="005C166F" w:rsidRDefault="005C166F" w:rsidP="00775F00">
      <w:r>
        <w:continuationSeparator/>
      </w:r>
    </w:p>
  </w:footnote>
  <w:footnote w:id="1">
    <w:p w:rsidR="002A190A" w:rsidRPr="003F03BF" w:rsidRDefault="002A190A" w:rsidP="00EC174A">
      <w:pPr>
        <w:rPr>
          <w:rFonts w:cs="Times New Roman"/>
          <w:sz w:val="20"/>
          <w:szCs w:val="20"/>
        </w:rPr>
      </w:pPr>
      <w:r w:rsidRPr="003F03BF">
        <w:rPr>
          <w:rStyle w:val="FootnoteReference"/>
          <w:rFonts w:cs="Times New Roman"/>
          <w:sz w:val="20"/>
          <w:szCs w:val="20"/>
        </w:rPr>
        <w:footnoteRef/>
      </w:r>
      <w:r w:rsidRPr="003F03BF">
        <w:rPr>
          <w:rFonts w:cs="Times New Roman"/>
          <w:sz w:val="20"/>
          <w:szCs w:val="20"/>
        </w:rPr>
        <w:t xml:space="preserve"> The NHRI has been (loosely) defined as “a body which is established by a Government under the constitution, or by law or decree, the functions of which are specifically designed in terms of the promotion and protection of human rights.” See UN (1995: 4).</w:t>
      </w:r>
    </w:p>
  </w:footnote>
  <w:footnote w:id="2">
    <w:p w:rsidR="002A190A" w:rsidRPr="003F03BF" w:rsidRDefault="002A190A" w:rsidP="00EC174A">
      <w:pPr>
        <w:rPr>
          <w:rFonts w:cs="Times New Roman"/>
          <w:sz w:val="20"/>
          <w:szCs w:val="20"/>
        </w:rPr>
      </w:pPr>
      <w:r w:rsidRPr="003F03BF">
        <w:rPr>
          <w:rStyle w:val="FootnoteReference"/>
          <w:rFonts w:cs="Times New Roman"/>
          <w:sz w:val="20"/>
          <w:szCs w:val="20"/>
        </w:rPr>
        <w:footnoteRef/>
      </w:r>
      <w:r w:rsidRPr="003F03BF">
        <w:rPr>
          <w:rFonts w:cs="Times New Roman"/>
          <w:sz w:val="20"/>
          <w:szCs w:val="20"/>
        </w:rPr>
        <w:t xml:space="preserve"> Principles Relating to the Status and Functioning of National Institutions for the Promotion and Protection of Human Rights, adopted by the UN General Assembly, Res. 48/134, 20 December 1993.</w:t>
      </w:r>
    </w:p>
  </w:footnote>
  <w:footnote w:id="3">
    <w:p w:rsidR="002A190A" w:rsidRPr="003F03BF" w:rsidRDefault="002A190A" w:rsidP="00EC174A">
      <w:pPr>
        <w:rPr>
          <w:rFonts w:cs="Times New Roman"/>
          <w:sz w:val="20"/>
          <w:szCs w:val="20"/>
        </w:rPr>
      </w:pPr>
      <w:r w:rsidRPr="003F03BF">
        <w:rPr>
          <w:rStyle w:val="FootnoteReference"/>
          <w:rFonts w:cs="Times New Roman"/>
          <w:sz w:val="20"/>
          <w:szCs w:val="20"/>
        </w:rPr>
        <w:footnoteRef/>
      </w:r>
      <w:r w:rsidRPr="003F03BF">
        <w:rPr>
          <w:rFonts w:cs="Times New Roman"/>
          <w:sz w:val="20"/>
          <w:szCs w:val="20"/>
        </w:rPr>
        <w:t xml:space="preserve"> We base these numbers on our own comprehensive dataset</w:t>
      </w:r>
      <w:r w:rsidR="008F3133">
        <w:rPr>
          <w:rFonts w:cs="Times New Roman"/>
          <w:sz w:val="20"/>
          <w:szCs w:val="20"/>
        </w:rPr>
        <w:t xml:space="preserve"> of NHRIs.</w:t>
      </w:r>
    </w:p>
  </w:footnote>
  <w:footnote w:id="4">
    <w:p w:rsidR="002A190A" w:rsidRPr="003F03BF" w:rsidRDefault="002A190A">
      <w:pPr>
        <w:pStyle w:val="FootnoteText"/>
      </w:pPr>
      <w:r w:rsidRPr="003F03BF">
        <w:rPr>
          <w:rStyle w:val="FootnoteReference"/>
        </w:rPr>
        <w:footnoteRef/>
      </w:r>
      <w:r w:rsidRPr="003F03BF">
        <w:t xml:space="preserve"> This dataset was developed in collaboration with Ryan Goodman and Derek Jinks, and with significant research assistance from David Zionts.</w:t>
      </w:r>
    </w:p>
  </w:footnote>
  <w:footnote w:id="5">
    <w:p w:rsidR="002A190A" w:rsidRPr="001E2939" w:rsidRDefault="002A190A" w:rsidP="00780C92">
      <w:pPr>
        <w:widowControl w:val="0"/>
        <w:autoSpaceDE w:val="0"/>
        <w:autoSpaceDN w:val="0"/>
        <w:adjustRightInd w:val="0"/>
        <w:rPr>
          <w:rFonts w:ascii="TimesNewRomanPSMT" w:hAnsi="TimesNewRomanPSMT" w:cs="TimesNewRomanPSMT"/>
          <w:sz w:val="16"/>
          <w:szCs w:val="16"/>
          <w:lang w:val="en-US"/>
        </w:rPr>
      </w:pPr>
      <w:r w:rsidRPr="003F03BF">
        <w:rPr>
          <w:rStyle w:val="FootnoteReference"/>
          <w:rFonts w:cs="Times New Roman"/>
          <w:sz w:val="20"/>
          <w:szCs w:val="20"/>
        </w:rPr>
        <w:footnoteRef/>
      </w:r>
      <w:r w:rsidRPr="003F03BF">
        <w:rPr>
          <w:rFonts w:cs="Times New Roman"/>
          <w:sz w:val="20"/>
          <w:szCs w:val="20"/>
        </w:rPr>
        <w:t xml:space="preserve"> </w:t>
      </w:r>
      <w:r w:rsidRPr="003F03BF">
        <w:rPr>
          <w:rFonts w:cs="Times New Roman"/>
          <w:sz w:val="20"/>
          <w:szCs w:val="20"/>
          <w:lang w:val="en-US"/>
        </w:rPr>
        <w:t>For discussions of soft law, see, among others, Linos</w:t>
      </w:r>
      <w:r>
        <w:rPr>
          <w:rFonts w:cs="Times New Roman"/>
          <w:sz w:val="20"/>
          <w:szCs w:val="20"/>
          <w:lang w:val="en-US"/>
        </w:rPr>
        <w:t xml:space="preserve"> </w:t>
      </w:r>
      <w:r w:rsidRPr="003F03BF">
        <w:rPr>
          <w:rFonts w:cs="Times New Roman"/>
          <w:sz w:val="20"/>
          <w:szCs w:val="20"/>
          <w:lang w:val="en-US"/>
        </w:rPr>
        <w:t>(forthcoming</w:t>
      </w:r>
      <w:r>
        <w:rPr>
          <w:rFonts w:cs="Times New Roman"/>
          <w:sz w:val="20"/>
          <w:szCs w:val="20"/>
          <w:lang w:val="en-US"/>
        </w:rPr>
        <w:t>, 2011</w:t>
      </w:r>
      <w:r w:rsidRPr="003F03BF">
        <w:rPr>
          <w:rFonts w:cs="Times New Roman"/>
          <w:sz w:val="20"/>
          <w:szCs w:val="20"/>
          <w:lang w:val="en-US"/>
        </w:rPr>
        <w:t>)</w:t>
      </w:r>
      <w:r w:rsidR="00304F67">
        <w:rPr>
          <w:rFonts w:cs="Times New Roman"/>
          <w:sz w:val="20"/>
          <w:szCs w:val="20"/>
          <w:lang w:val="en-US"/>
        </w:rPr>
        <w:t>;</w:t>
      </w:r>
      <w:r w:rsidRPr="003F03BF">
        <w:rPr>
          <w:rFonts w:cs="Times New Roman"/>
          <w:sz w:val="20"/>
          <w:szCs w:val="20"/>
          <w:lang w:val="en-US"/>
        </w:rPr>
        <w:t xml:space="preserve"> </w:t>
      </w:r>
      <w:r>
        <w:rPr>
          <w:rFonts w:cs="Times New Roman"/>
          <w:sz w:val="20"/>
          <w:szCs w:val="20"/>
          <w:lang w:val="en-US"/>
        </w:rPr>
        <w:t>Shelton (2000)</w:t>
      </w:r>
      <w:r w:rsidR="00304F67">
        <w:rPr>
          <w:rFonts w:cs="Times New Roman"/>
          <w:sz w:val="20"/>
          <w:szCs w:val="20"/>
          <w:lang w:val="en-US"/>
        </w:rPr>
        <w:t>;</w:t>
      </w:r>
      <w:r>
        <w:rPr>
          <w:rFonts w:ascii="TimesNewRomanPSMT" w:hAnsi="TimesNewRomanPSMT" w:cs="TimesNewRomanPSMT"/>
          <w:sz w:val="20"/>
          <w:szCs w:val="20"/>
          <w:lang w:val="en-US"/>
        </w:rPr>
        <w:t xml:space="preserve"> Gersen &amp; Posner (2008); Guzman &amp; Meyer (2010); </w:t>
      </w:r>
      <w:r w:rsidR="00304F67">
        <w:rPr>
          <w:rFonts w:ascii="TimesNewRomanPSMT" w:hAnsi="TimesNewRomanPSMT" w:cs="TimesNewRomanPSMT"/>
          <w:sz w:val="20"/>
          <w:szCs w:val="20"/>
          <w:lang w:val="en-US"/>
        </w:rPr>
        <w:t xml:space="preserve">and </w:t>
      </w:r>
      <w:r>
        <w:rPr>
          <w:rFonts w:ascii="TimesNewRomanPSMT" w:hAnsi="TimesNewRomanPSMT" w:cs="TimesNewRomanPSMT"/>
          <w:sz w:val="20"/>
          <w:szCs w:val="20"/>
          <w:lang w:val="en-US"/>
        </w:rPr>
        <w:t>Di Robilant (2006).</w:t>
      </w:r>
    </w:p>
  </w:footnote>
  <w:footnote w:id="6">
    <w:p w:rsidR="002A190A" w:rsidRDefault="002A190A" w:rsidP="00AE316E">
      <w:pPr>
        <w:pStyle w:val="FootnoteText"/>
      </w:pPr>
      <w:r>
        <w:rPr>
          <w:rStyle w:val="FootnoteReference"/>
        </w:rPr>
        <w:footnoteRef/>
      </w:r>
      <w:r>
        <w:t xml:space="preserve"> Compare, for example, Franck (1990) and Chayes </w:t>
      </w:r>
      <w:r w:rsidR="00FB4A37">
        <w:t>&amp;</w:t>
      </w:r>
      <w:r>
        <w:t xml:space="preserve"> Chayes (1993), with Downs et al. (1996).</w:t>
      </w:r>
    </w:p>
  </w:footnote>
  <w:footnote w:id="7">
    <w:p w:rsidR="002A190A" w:rsidRPr="00014CF9" w:rsidRDefault="002A190A" w:rsidP="00EC174A">
      <w:pPr>
        <w:pStyle w:val="FootnoteText"/>
      </w:pPr>
      <w:r>
        <w:rPr>
          <w:rStyle w:val="FootnoteReference"/>
        </w:rPr>
        <w:footnoteRef/>
      </w:r>
      <w:r>
        <w:t xml:space="preserve"> An incipient body of </w:t>
      </w:r>
      <w:r w:rsidRPr="00014CF9">
        <w:t xml:space="preserve">research </w:t>
      </w:r>
      <w:r>
        <w:t xml:space="preserve">has begun to make inroads </w:t>
      </w:r>
      <w:r w:rsidRPr="00014CF9">
        <w:t xml:space="preserve">into </w:t>
      </w:r>
      <w:r>
        <w:t xml:space="preserve">explaining </w:t>
      </w:r>
      <w:r w:rsidRPr="00014CF9">
        <w:t xml:space="preserve">why certain NHRI are more effective than others in fulfilling a rights mandate (Uggla 2004; Burdekin with Naum 2007; Pegram 2008; Mertus 2009; Goodman </w:t>
      </w:r>
      <w:r w:rsidR="00FB4A37">
        <w:t>&amp;</w:t>
      </w:r>
      <w:r w:rsidRPr="00014CF9">
        <w:t xml:space="preserve"> Pegram, forthcoming</w:t>
      </w:r>
      <w:r>
        <w:t xml:space="preserve"> 2011</w:t>
      </w:r>
      <w:r w:rsidRPr="00014CF9">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DFB"/>
    <w:multiLevelType w:val="hybridMultilevel"/>
    <w:tmpl w:val="0428B1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66B0F"/>
    <w:multiLevelType w:val="hybridMultilevel"/>
    <w:tmpl w:val="E38C1E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E17F3"/>
    <w:multiLevelType w:val="hybridMultilevel"/>
    <w:tmpl w:val="D062EEA2"/>
    <w:lvl w:ilvl="0" w:tplc="C26E81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704EF"/>
    <w:multiLevelType w:val="hybridMultilevel"/>
    <w:tmpl w:val="ECECE1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1319F"/>
    <w:multiLevelType w:val="hybridMultilevel"/>
    <w:tmpl w:val="CE369D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C4A14"/>
    <w:multiLevelType w:val="hybridMultilevel"/>
    <w:tmpl w:val="4928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CC47D7"/>
    <w:multiLevelType w:val="hybridMultilevel"/>
    <w:tmpl w:val="B678C8EC"/>
    <w:lvl w:ilvl="0" w:tplc="F21CE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02177"/>
    <w:multiLevelType w:val="hybridMultilevel"/>
    <w:tmpl w:val="F826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E54AC9"/>
    <w:multiLevelType w:val="hybridMultilevel"/>
    <w:tmpl w:val="F7204B9C"/>
    <w:lvl w:ilvl="0" w:tplc="7F405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750B5D"/>
    <w:multiLevelType w:val="hybridMultilevel"/>
    <w:tmpl w:val="5426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9"/>
  </w:num>
  <w:num w:numId="5">
    <w:abstractNumId w:val="5"/>
  </w:num>
  <w:num w:numId="6">
    <w:abstractNumId w:val="1"/>
  </w:num>
  <w:num w:numId="7">
    <w:abstractNumId w:val="0"/>
  </w:num>
  <w:num w:numId="8">
    <w:abstractNumId w:val="7"/>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grammar="clean"/>
  <w:doNotTrackMoves/>
  <w:defaultTabStop w:val="720"/>
  <w:characterSpacingControl w:val="doNotCompress"/>
  <w:footnotePr>
    <w:footnote w:id="-1"/>
    <w:footnote w:id="0"/>
  </w:footnotePr>
  <w:endnotePr>
    <w:endnote w:id="-1"/>
    <w:endnote w:id="0"/>
  </w:endnotePr>
  <w:compat/>
  <w:rsids>
    <w:rsidRoot w:val="004A32C9"/>
    <w:rsid w:val="000006E5"/>
    <w:rsid w:val="0000323B"/>
    <w:rsid w:val="00004A0D"/>
    <w:rsid w:val="000062F5"/>
    <w:rsid w:val="00010FB1"/>
    <w:rsid w:val="00017768"/>
    <w:rsid w:val="0001787E"/>
    <w:rsid w:val="000244CB"/>
    <w:rsid w:val="000276D4"/>
    <w:rsid w:val="00027919"/>
    <w:rsid w:val="0003040C"/>
    <w:rsid w:val="00031B39"/>
    <w:rsid w:val="00035E81"/>
    <w:rsid w:val="000403B4"/>
    <w:rsid w:val="0004636C"/>
    <w:rsid w:val="00047ADF"/>
    <w:rsid w:val="00051D8C"/>
    <w:rsid w:val="000523C8"/>
    <w:rsid w:val="0005597E"/>
    <w:rsid w:val="00074138"/>
    <w:rsid w:val="0008344F"/>
    <w:rsid w:val="00090F67"/>
    <w:rsid w:val="00091399"/>
    <w:rsid w:val="00094C9E"/>
    <w:rsid w:val="000A112F"/>
    <w:rsid w:val="000A1662"/>
    <w:rsid w:val="000A7F1B"/>
    <w:rsid w:val="000C40FD"/>
    <w:rsid w:val="000C74DF"/>
    <w:rsid w:val="000D5212"/>
    <w:rsid w:val="000D7FD4"/>
    <w:rsid w:val="000E12B7"/>
    <w:rsid w:val="000F08A5"/>
    <w:rsid w:val="000F16B1"/>
    <w:rsid w:val="000F18F9"/>
    <w:rsid w:val="000F1E2E"/>
    <w:rsid w:val="000F2037"/>
    <w:rsid w:val="00103725"/>
    <w:rsid w:val="0010746B"/>
    <w:rsid w:val="0012529A"/>
    <w:rsid w:val="00125CA0"/>
    <w:rsid w:val="00126109"/>
    <w:rsid w:val="00126481"/>
    <w:rsid w:val="001309B5"/>
    <w:rsid w:val="00130A72"/>
    <w:rsid w:val="001314B7"/>
    <w:rsid w:val="001328D3"/>
    <w:rsid w:val="00133092"/>
    <w:rsid w:val="0013742F"/>
    <w:rsid w:val="00143F30"/>
    <w:rsid w:val="00144DBA"/>
    <w:rsid w:val="00146514"/>
    <w:rsid w:val="00152939"/>
    <w:rsid w:val="00153761"/>
    <w:rsid w:val="00156491"/>
    <w:rsid w:val="00163430"/>
    <w:rsid w:val="00175157"/>
    <w:rsid w:val="0017703E"/>
    <w:rsid w:val="001802EE"/>
    <w:rsid w:val="001835D5"/>
    <w:rsid w:val="0018456B"/>
    <w:rsid w:val="001848A4"/>
    <w:rsid w:val="0018524A"/>
    <w:rsid w:val="001904E4"/>
    <w:rsid w:val="001969C1"/>
    <w:rsid w:val="001B4BD3"/>
    <w:rsid w:val="001B5AB4"/>
    <w:rsid w:val="001C0539"/>
    <w:rsid w:val="001C0CA1"/>
    <w:rsid w:val="001C1DDA"/>
    <w:rsid w:val="001C26FA"/>
    <w:rsid w:val="001C6F6F"/>
    <w:rsid w:val="001D258B"/>
    <w:rsid w:val="001D4433"/>
    <w:rsid w:val="001D7EA9"/>
    <w:rsid w:val="001E1919"/>
    <w:rsid w:val="001E2939"/>
    <w:rsid w:val="001E56BC"/>
    <w:rsid w:val="001E646A"/>
    <w:rsid w:val="001E74B6"/>
    <w:rsid w:val="0020283A"/>
    <w:rsid w:val="00212EDC"/>
    <w:rsid w:val="00221D92"/>
    <w:rsid w:val="0022778B"/>
    <w:rsid w:val="00240D9D"/>
    <w:rsid w:val="0024101F"/>
    <w:rsid w:val="00252C19"/>
    <w:rsid w:val="00252F30"/>
    <w:rsid w:val="002613F7"/>
    <w:rsid w:val="00277094"/>
    <w:rsid w:val="00280431"/>
    <w:rsid w:val="0028771C"/>
    <w:rsid w:val="00294F5D"/>
    <w:rsid w:val="002A07B1"/>
    <w:rsid w:val="002A190A"/>
    <w:rsid w:val="002A214F"/>
    <w:rsid w:val="002A6690"/>
    <w:rsid w:val="002B0F6C"/>
    <w:rsid w:val="002B4FEB"/>
    <w:rsid w:val="002B586C"/>
    <w:rsid w:val="002C0B5A"/>
    <w:rsid w:val="002C49DA"/>
    <w:rsid w:val="002C4B9A"/>
    <w:rsid w:val="002C5759"/>
    <w:rsid w:val="002E3B62"/>
    <w:rsid w:val="002E7943"/>
    <w:rsid w:val="00303DC1"/>
    <w:rsid w:val="00304851"/>
    <w:rsid w:val="00304F67"/>
    <w:rsid w:val="0032195E"/>
    <w:rsid w:val="003344BE"/>
    <w:rsid w:val="00334878"/>
    <w:rsid w:val="0034448D"/>
    <w:rsid w:val="003461C3"/>
    <w:rsid w:val="00346406"/>
    <w:rsid w:val="003530D3"/>
    <w:rsid w:val="00356C1D"/>
    <w:rsid w:val="00360D92"/>
    <w:rsid w:val="003615B4"/>
    <w:rsid w:val="00370646"/>
    <w:rsid w:val="003744B0"/>
    <w:rsid w:val="00377303"/>
    <w:rsid w:val="003850A3"/>
    <w:rsid w:val="003868D2"/>
    <w:rsid w:val="00396630"/>
    <w:rsid w:val="003A2DF3"/>
    <w:rsid w:val="003A42EF"/>
    <w:rsid w:val="003A451B"/>
    <w:rsid w:val="003B34BF"/>
    <w:rsid w:val="003B4472"/>
    <w:rsid w:val="003B60FC"/>
    <w:rsid w:val="003B69C3"/>
    <w:rsid w:val="003B7401"/>
    <w:rsid w:val="003B7873"/>
    <w:rsid w:val="003D092B"/>
    <w:rsid w:val="003D1EC4"/>
    <w:rsid w:val="003D56D1"/>
    <w:rsid w:val="003F03BF"/>
    <w:rsid w:val="003F07E9"/>
    <w:rsid w:val="003F0AFF"/>
    <w:rsid w:val="003F2E40"/>
    <w:rsid w:val="003F7033"/>
    <w:rsid w:val="00400E5A"/>
    <w:rsid w:val="00431EC9"/>
    <w:rsid w:val="004364C3"/>
    <w:rsid w:val="004368BA"/>
    <w:rsid w:val="00442BAC"/>
    <w:rsid w:val="00443897"/>
    <w:rsid w:val="00447920"/>
    <w:rsid w:val="00450C32"/>
    <w:rsid w:val="00457355"/>
    <w:rsid w:val="00460E74"/>
    <w:rsid w:val="00470A19"/>
    <w:rsid w:val="00477FFA"/>
    <w:rsid w:val="00481A56"/>
    <w:rsid w:val="0048394F"/>
    <w:rsid w:val="00492997"/>
    <w:rsid w:val="00496300"/>
    <w:rsid w:val="004A03FF"/>
    <w:rsid w:val="004A1851"/>
    <w:rsid w:val="004A32C9"/>
    <w:rsid w:val="004A4924"/>
    <w:rsid w:val="004A4FD4"/>
    <w:rsid w:val="004A7D1E"/>
    <w:rsid w:val="004B1C85"/>
    <w:rsid w:val="004B3353"/>
    <w:rsid w:val="004B572D"/>
    <w:rsid w:val="004B6B0C"/>
    <w:rsid w:val="004C0989"/>
    <w:rsid w:val="004C36D2"/>
    <w:rsid w:val="004D09D3"/>
    <w:rsid w:val="004E4EEA"/>
    <w:rsid w:val="004F129A"/>
    <w:rsid w:val="004F1455"/>
    <w:rsid w:val="004F1733"/>
    <w:rsid w:val="005003BC"/>
    <w:rsid w:val="00504BC8"/>
    <w:rsid w:val="0050518E"/>
    <w:rsid w:val="00510AD9"/>
    <w:rsid w:val="00512C11"/>
    <w:rsid w:val="005153B6"/>
    <w:rsid w:val="005159C9"/>
    <w:rsid w:val="00521D37"/>
    <w:rsid w:val="00522455"/>
    <w:rsid w:val="00523B14"/>
    <w:rsid w:val="005246AF"/>
    <w:rsid w:val="00531766"/>
    <w:rsid w:val="005328BD"/>
    <w:rsid w:val="00540C64"/>
    <w:rsid w:val="00540DF7"/>
    <w:rsid w:val="005418A7"/>
    <w:rsid w:val="00550F2C"/>
    <w:rsid w:val="00557C8A"/>
    <w:rsid w:val="00572030"/>
    <w:rsid w:val="00572DAA"/>
    <w:rsid w:val="00574A56"/>
    <w:rsid w:val="00581CB6"/>
    <w:rsid w:val="00584C37"/>
    <w:rsid w:val="00585298"/>
    <w:rsid w:val="00586376"/>
    <w:rsid w:val="00592481"/>
    <w:rsid w:val="005930AD"/>
    <w:rsid w:val="00594E30"/>
    <w:rsid w:val="005A0C14"/>
    <w:rsid w:val="005A282D"/>
    <w:rsid w:val="005B377C"/>
    <w:rsid w:val="005C134E"/>
    <w:rsid w:val="005C166F"/>
    <w:rsid w:val="005C68D6"/>
    <w:rsid w:val="005C717F"/>
    <w:rsid w:val="005C764C"/>
    <w:rsid w:val="005E2DE2"/>
    <w:rsid w:val="005E4DA6"/>
    <w:rsid w:val="005F3149"/>
    <w:rsid w:val="005F712F"/>
    <w:rsid w:val="005F73F8"/>
    <w:rsid w:val="006058A2"/>
    <w:rsid w:val="00613633"/>
    <w:rsid w:val="006227FB"/>
    <w:rsid w:val="00624329"/>
    <w:rsid w:val="00625435"/>
    <w:rsid w:val="00631981"/>
    <w:rsid w:val="00637B1B"/>
    <w:rsid w:val="0064274E"/>
    <w:rsid w:val="006510EA"/>
    <w:rsid w:val="00653759"/>
    <w:rsid w:val="00653D6C"/>
    <w:rsid w:val="00654D3D"/>
    <w:rsid w:val="00655629"/>
    <w:rsid w:val="006568BA"/>
    <w:rsid w:val="0066302C"/>
    <w:rsid w:val="006741D1"/>
    <w:rsid w:val="006770B0"/>
    <w:rsid w:val="00682E47"/>
    <w:rsid w:val="00685A37"/>
    <w:rsid w:val="006921C5"/>
    <w:rsid w:val="00696714"/>
    <w:rsid w:val="006A0017"/>
    <w:rsid w:val="006B36D3"/>
    <w:rsid w:val="006C5451"/>
    <w:rsid w:val="006D0763"/>
    <w:rsid w:val="006D1B54"/>
    <w:rsid w:val="006D3B9E"/>
    <w:rsid w:val="006D4DAE"/>
    <w:rsid w:val="006D5EBB"/>
    <w:rsid w:val="006D6673"/>
    <w:rsid w:val="006E1633"/>
    <w:rsid w:val="006E1AA4"/>
    <w:rsid w:val="006E3594"/>
    <w:rsid w:val="006E4041"/>
    <w:rsid w:val="006E57F3"/>
    <w:rsid w:val="006F1C43"/>
    <w:rsid w:val="006F25F3"/>
    <w:rsid w:val="006F2612"/>
    <w:rsid w:val="006F6EA3"/>
    <w:rsid w:val="00703241"/>
    <w:rsid w:val="0070391A"/>
    <w:rsid w:val="00726CD0"/>
    <w:rsid w:val="00731B92"/>
    <w:rsid w:val="00732F46"/>
    <w:rsid w:val="00733B73"/>
    <w:rsid w:val="0073442F"/>
    <w:rsid w:val="00734D21"/>
    <w:rsid w:val="00736536"/>
    <w:rsid w:val="00736B87"/>
    <w:rsid w:val="00740AAD"/>
    <w:rsid w:val="007443AF"/>
    <w:rsid w:val="00744686"/>
    <w:rsid w:val="00746FD2"/>
    <w:rsid w:val="007502AC"/>
    <w:rsid w:val="00752742"/>
    <w:rsid w:val="00757ABE"/>
    <w:rsid w:val="00760A37"/>
    <w:rsid w:val="00763D2E"/>
    <w:rsid w:val="00765D59"/>
    <w:rsid w:val="00766843"/>
    <w:rsid w:val="00767898"/>
    <w:rsid w:val="00767A46"/>
    <w:rsid w:val="00767F39"/>
    <w:rsid w:val="00774167"/>
    <w:rsid w:val="00775F00"/>
    <w:rsid w:val="007760CB"/>
    <w:rsid w:val="00780C92"/>
    <w:rsid w:val="00787321"/>
    <w:rsid w:val="00791E00"/>
    <w:rsid w:val="0079266E"/>
    <w:rsid w:val="007935F5"/>
    <w:rsid w:val="007945FE"/>
    <w:rsid w:val="00796461"/>
    <w:rsid w:val="00796A2D"/>
    <w:rsid w:val="007A41A5"/>
    <w:rsid w:val="007B260E"/>
    <w:rsid w:val="007C21F0"/>
    <w:rsid w:val="007C4C04"/>
    <w:rsid w:val="007C639A"/>
    <w:rsid w:val="007E06C2"/>
    <w:rsid w:val="007E5699"/>
    <w:rsid w:val="007F5671"/>
    <w:rsid w:val="007F576F"/>
    <w:rsid w:val="007F728A"/>
    <w:rsid w:val="00800F27"/>
    <w:rsid w:val="0080599A"/>
    <w:rsid w:val="008101F2"/>
    <w:rsid w:val="00813EDC"/>
    <w:rsid w:val="008154BB"/>
    <w:rsid w:val="00823462"/>
    <w:rsid w:val="00824880"/>
    <w:rsid w:val="008354A2"/>
    <w:rsid w:val="00835E29"/>
    <w:rsid w:val="00840E4A"/>
    <w:rsid w:val="00843A88"/>
    <w:rsid w:val="008549EA"/>
    <w:rsid w:val="00855922"/>
    <w:rsid w:val="00862CC7"/>
    <w:rsid w:val="008643F7"/>
    <w:rsid w:val="00864936"/>
    <w:rsid w:val="00873CE1"/>
    <w:rsid w:val="00883735"/>
    <w:rsid w:val="0088529B"/>
    <w:rsid w:val="00885B2E"/>
    <w:rsid w:val="00894448"/>
    <w:rsid w:val="00894B42"/>
    <w:rsid w:val="008A08CF"/>
    <w:rsid w:val="008A79D8"/>
    <w:rsid w:val="008B2D4B"/>
    <w:rsid w:val="008B7C66"/>
    <w:rsid w:val="008C1644"/>
    <w:rsid w:val="008D6C00"/>
    <w:rsid w:val="008E10B2"/>
    <w:rsid w:val="008F04EC"/>
    <w:rsid w:val="008F2C6F"/>
    <w:rsid w:val="008F3133"/>
    <w:rsid w:val="008F41DD"/>
    <w:rsid w:val="008F7DBC"/>
    <w:rsid w:val="00902AF4"/>
    <w:rsid w:val="00904A27"/>
    <w:rsid w:val="00905765"/>
    <w:rsid w:val="0090625C"/>
    <w:rsid w:val="00906BE3"/>
    <w:rsid w:val="00910DE0"/>
    <w:rsid w:val="0091244A"/>
    <w:rsid w:val="00915E99"/>
    <w:rsid w:val="00917652"/>
    <w:rsid w:val="009178D7"/>
    <w:rsid w:val="009228DE"/>
    <w:rsid w:val="00927B61"/>
    <w:rsid w:val="00933526"/>
    <w:rsid w:val="00937CBD"/>
    <w:rsid w:val="00941776"/>
    <w:rsid w:val="00942F72"/>
    <w:rsid w:val="00951169"/>
    <w:rsid w:val="00954B3E"/>
    <w:rsid w:val="009615D1"/>
    <w:rsid w:val="009615D9"/>
    <w:rsid w:val="00961F26"/>
    <w:rsid w:val="00965B40"/>
    <w:rsid w:val="00966E5D"/>
    <w:rsid w:val="00975E5E"/>
    <w:rsid w:val="00980C9B"/>
    <w:rsid w:val="00984F6A"/>
    <w:rsid w:val="0099230B"/>
    <w:rsid w:val="00994756"/>
    <w:rsid w:val="00995755"/>
    <w:rsid w:val="00997043"/>
    <w:rsid w:val="009A0363"/>
    <w:rsid w:val="009A0481"/>
    <w:rsid w:val="009B01C1"/>
    <w:rsid w:val="009B35A4"/>
    <w:rsid w:val="009B50C3"/>
    <w:rsid w:val="009C1126"/>
    <w:rsid w:val="009C1DC3"/>
    <w:rsid w:val="009C59F9"/>
    <w:rsid w:val="009D0304"/>
    <w:rsid w:val="009D328B"/>
    <w:rsid w:val="009D54F7"/>
    <w:rsid w:val="009E1840"/>
    <w:rsid w:val="009E2948"/>
    <w:rsid w:val="009E50AF"/>
    <w:rsid w:val="009E7C74"/>
    <w:rsid w:val="009E7E52"/>
    <w:rsid w:val="009F0B21"/>
    <w:rsid w:val="009F3B3D"/>
    <w:rsid w:val="00A10BFB"/>
    <w:rsid w:val="00A13B69"/>
    <w:rsid w:val="00A144E1"/>
    <w:rsid w:val="00A22248"/>
    <w:rsid w:val="00A30424"/>
    <w:rsid w:val="00A34EE9"/>
    <w:rsid w:val="00A37FC1"/>
    <w:rsid w:val="00A40453"/>
    <w:rsid w:val="00A428DD"/>
    <w:rsid w:val="00A50299"/>
    <w:rsid w:val="00A5659B"/>
    <w:rsid w:val="00A62786"/>
    <w:rsid w:val="00A6365A"/>
    <w:rsid w:val="00A64D9E"/>
    <w:rsid w:val="00A7011A"/>
    <w:rsid w:val="00A70AB1"/>
    <w:rsid w:val="00A70D88"/>
    <w:rsid w:val="00A71142"/>
    <w:rsid w:val="00A74BAD"/>
    <w:rsid w:val="00A905C5"/>
    <w:rsid w:val="00AA1B15"/>
    <w:rsid w:val="00AA2F80"/>
    <w:rsid w:val="00AB1659"/>
    <w:rsid w:val="00AB18C5"/>
    <w:rsid w:val="00AB56CE"/>
    <w:rsid w:val="00AB6FB5"/>
    <w:rsid w:val="00AC48F2"/>
    <w:rsid w:val="00AC53E6"/>
    <w:rsid w:val="00AC609A"/>
    <w:rsid w:val="00AD14AF"/>
    <w:rsid w:val="00AD43C5"/>
    <w:rsid w:val="00AD52BD"/>
    <w:rsid w:val="00AE316E"/>
    <w:rsid w:val="00AE36BF"/>
    <w:rsid w:val="00AE42BC"/>
    <w:rsid w:val="00AF0A4F"/>
    <w:rsid w:val="00AF3727"/>
    <w:rsid w:val="00AF677F"/>
    <w:rsid w:val="00B0305F"/>
    <w:rsid w:val="00B10B0D"/>
    <w:rsid w:val="00B13181"/>
    <w:rsid w:val="00B148E8"/>
    <w:rsid w:val="00B1682B"/>
    <w:rsid w:val="00B17EE1"/>
    <w:rsid w:val="00B26BF0"/>
    <w:rsid w:val="00B316DC"/>
    <w:rsid w:val="00B437FE"/>
    <w:rsid w:val="00B53852"/>
    <w:rsid w:val="00B5542A"/>
    <w:rsid w:val="00B72986"/>
    <w:rsid w:val="00B74CAD"/>
    <w:rsid w:val="00B776C8"/>
    <w:rsid w:val="00B77ED3"/>
    <w:rsid w:val="00B83E51"/>
    <w:rsid w:val="00B90662"/>
    <w:rsid w:val="00B928F9"/>
    <w:rsid w:val="00BA0879"/>
    <w:rsid w:val="00BA0F8F"/>
    <w:rsid w:val="00BA40AB"/>
    <w:rsid w:val="00BA673F"/>
    <w:rsid w:val="00BB16B1"/>
    <w:rsid w:val="00BB2A03"/>
    <w:rsid w:val="00BB40A9"/>
    <w:rsid w:val="00BB59B9"/>
    <w:rsid w:val="00BB6C23"/>
    <w:rsid w:val="00BC1E71"/>
    <w:rsid w:val="00BC208F"/>
    <w:rsid w:val="00BC3869"/>
    <w:rsid w:val="00BD345D"/>
    <w:rsid w:val="00BE2188"/>
    <w:rsid w:val="00BE292C"/>
    <w:rsid w:val="00BE31D1"/>
    <w:rsid w:val="00BE323D"/>
    <w:rsid w:val="00BE7B15"/>
    <w:rsid w:val="00BF35B0"/>
    <w:rsid w:val="00C02EE6"/>
    <w:rsid w:val="00C058BE"/>
    <w:rsid w:val="00C05EAF"/>
    <w:rsid w:val="00C06CDC"/>
    <w:rsid w:val="00C106D6"/>
    <w:rsid w:val="00C15BFF"/>
    <w:rsid w:val="00C163EE"/>
    <w:rsid w:val="00C21BAD"/>
    <w:rsid w:val="00C34A82"/>
    <w:rsid w:val="00C35D98"/>
    <w:rsid w:val="00C374D4"/>
    <w:rsid w:val="00C40544"/>
    <w:rsid w:val="00C406AE"/>
    <w:rsid w:val="00C60176"/>
    <w:rsid w:val="00C62CD0"/>
    <w:rsid w:val="00C631E0"/>
    <w:rsid w:val="00C6336C"/>
    <w:rsid w:val="00C6469E"/>
    <w:rsid w:val="00C64B87"/>
    <w:rsid w:val="00C66F04"/>
    <w:rsid w:val="00C72218"/>
    <w:rsid w:val="00C72E8E"/>
    <w:rsid w:val="00C91720"/>
    <w:rsid w:val="00C93F48"/>
    <w:rsid w:val="00CA2536"/>
    <w:rsid w:val="00CB6F47"/>
    <w:rsid w:val="00CC5E18"/>
    <w:rsid w:val="00CC6B32"/>
    <w:rsid w:val="00CD17F5"/>
    <w:rsid w:val="00CD4E9C"/>
    <w:rsid w:val="00CD65F0"/>
    <w:rsid w:val="00CE3452"/>
    <w:rsid w:val="00CE4418"/>
    <w:rsid w:val="00CE62AF"/>
    <w:rsid w:val="00CF4BD3"/>
    <w:rsid w:val="00D0312A"/>
    <w:rsid w:val="00D0568E"/>
    <w:rsid w:val="00D14782"/>
    <w:rsid w:val="00D1767A"/>
    <w:rsid w:val="00D24B1C"/>
    <w:rsid w:val="00D254AD"/>
    <w:rsid w:val="00D26132"/>
    <w:rsid w:val="00D32358"/>
    <w:rsid w:val="00D34719"/>
    <w:rsid w:val="00D3733B"/>
    <w:rsid w:val="00D45605"/>
    <w:rsid w:val="00D45D7E"/>
    <w:rsid w:val="00D47525"/>
    <w:rsid w:val="00D50D14"/>
    <w:rsid w:val="00D56D2B"/>
    <w:rsid w:val="00D607D5"/>
    <w:rsid w:val="00D64E94"/>
    <w:rsid w:val="00D726AB"/>
    <w:rsid w:val="00D7364D"/>
    <w:rsid w:val="00D763A1"/>
    <w:rsid w:val="00D76C82"/>
    <w:rsid w:val="00D85A4E"/>
    <w:rsid w:val="00D85C83"/>
    <w:rsid w:val="00D905A3"/>
    <w:rsid w:val="00DA1D1A"/>
    <w:rsid w:val="00DB2D7C"/>
    <w:rsid w:val="00DB44B6"/>
    <w:rsid w:val="00DD23F4"/>
    <w:rsid w:val="00DD340F"/>
    <w:rsid w:val="00DD34E1"/>
    <w:rsid w:val="00DD4EA0"/>
    <w:rsid w:val="00DD6A78"/>
    <w:rsid w:val="00DF4946"/>
    <w:rsid w:val="00DF4AAE"/>
    <w:rsid w:val="00DF4CE1"/>
    <w:rsid w:val="00DF68EC"/>
    <w:rsid w:val="00E01164"/>
    <w:rsid w:val="00E049AC"/>
    <w:rsid w:val="00E04E83"/>
    <w:rsid w:val="00E0698A"/>
    <w:rsid w:val="00E102DD"/>
    <w:rsid w:val="00E10C0B"/>
    <w:rsid w:val="00E11FDA"/>
    <w:rsid w:val="00E13BC9"/>
    <w:rsid w:val="00E15679"/>
    <w:rsid w:val="00E25499"/>
    <w:rsid w:val="00E35B9B"/>
    <w:rsid w:val="00E51DA1"/>
    <w:rsid w:val="00E6313C"/>
    <w:rsid w:val="00E71AFB"/>
    <w:rsid w:val="00E72C16"/>
    <w:rsid w:val="00E7529D"/>
    <w:rsid w:val="00E76985"/>
    <w:rsid w:val="00E8562A"/>
    <w:rsid w:val="00E85BF6"/>
    <w:rsid w:val="00EA7D51"/>
    <w:rsid w:val="00EB275B"/>
    <w:rsid w:val="00EB4467"/>
    <w:rsid w:val="00EC174A"/>
    <w:rsid w:val="00EC35A6"/>
    <w:rsid w:val="00ED0CD4"/>
    <w:rsid w:val="00ED44D2"/>
    <w:rsid w:val="00ED6B02"/>
    <w:rsid w:val="00EF03CF"/>
    <w:rsid w:val="00EF22DF"/>
    <w:rsid w:val="00EF247F"/>
    <w:rsid w:val="00EF411A"/>
    <w:rsid w:val="00EF68EA"/>
    <w:rsid w:val="00F1783F"/>
    <w:rsid w:val="00F258E1"/>
    <w:rsid w:val="00F27A06"/>
    <w:rsid w:val="00F44C6F"/>
    <w:rsid w:val="00F45063"/>
    <w:rsid w:val="00F464E5"/>
    <w:rsid w:val="00F5493F"/>
    <w:rsid w:val="00F57E3C"/>
    <w:rsid w:val="00F6414E"/>
    <w:rsid w:val="00F64662"/>
    <w:rsid w:val="00F71F54"/>
    <w:rsid w:val="00F77BB9"/>
    <w:rsid w:val="00F822B1"/>
    <w:rsid w:val="00F82DD2"/>
    <w:rsid w:val="00F87360"/>
    <w:rsid w:val="00F877AD"/>
    <w:rsid w:val="00F9060F"/>
    <w:rsid w:val="00F93469"/>
    <w:rsid w:val="00F93567"/>
    <w:rsid w:val="00F93944"/>
    <w:rsid w:val="00FA476D"/>
    <w:rsid w:val="00FA600B"/>
    <w:rsid w:val="00FA60C0"/>
    <w:rsid w:val="00FB4A37"/>
    <w:rsid w:val="00FC08FB"/>
    <w:rsid w:val="00FC3B42"/>
    <w:rsid w:val="00FC638E"/>
    <w:rsid w:val="00FE3AC1"/>
    <w:rsid w:val="00FF66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267">
    <w:lsdException w:name="footnote text" w:uiPriority="99"/>
    <w:lsdException w:name="footnote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E52"/>
    <w:rPr>
      <w:szCs w:val="22"/>
      <w:lang w:val="en-GB"/>
    </w:rPr>
  </w:style>
  <w:style w:type="paragraph" w:styleId="Heading1">
    <w:name w:val="heading 1"/>
    <w:basedOn w:val="Normal"/>
    <w:next w:val="Normal"/>
    <w:link w:val="Heading1Char"/>
    <w:uiPriority w:val="9"/>
    <w:qFormat/>
    <w:rsid w:val="000F2037"/>
    <w:pPr>
      <w:outlineLvl w:val="0"/>
    </w:pPr>
    <w:rPr>
      <w:lang w:val="en-US"/>
    </w:rPr>
  </w:style>
  <w:style w:type="paragraph" w:styleId="Heading2">
    <w:name w:val="heading 2"/>
    <w:basedOn w:val="Normal"/>
    <w:next w:val="Normal"/>
    <w:link w:val="Heading2Char"/>
    <w:uiPriority w:val="9"/>
    <w:unhideWhenUsed/>
    <w:qFormat/>
    <w:rsid w:val="000F2037"/>
    <w:pPr>
      <w:outlineLvl w:val="1"/>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037"/>
    <w:rPr>
      <w:szCs w:val="22"/>
    </w:rPr>
  </w:style>
  <w:style w:type="paragraph" w:styleId="Subtitle">
    <w:name w:val="Subtitle"/>
    <w:basedOn w:val="Normal"/>
    <w:next w:val="Normal"/>
    <w:link w:val="SubtitleChar"/>
    <w:uiPriority w:val="11"/>
    <w:qFormat/>
    <w:rsid w:val="001D4433"/>
    <w:pPr>
      <w:numPr>
        <w:ilvl w:val="1"/>
      </w:numPr>
    </w:pPr>
    <w:rPr>
      <w:rFonts w:eastAsiaTheme="majorEastAsia" w:cstheme="majorBidi"/>
      <w:iCs/>
      <w:spacing w:val="15"/>
      <w:sz w:val="20"/>
    </w:rPr>
  </w:style>
  <w:style w:type="character" w:customStyle="1" w:styleId="SubtitleChar">
    <w:name w:val="Subtitle Char"/>
    <w:basedOn w:val="DefaultParagraphFont"/>
    <w:link w:val="Subtitle"/>
    <w:uiPriority w:val="11"/>
    <w:rsid w:val="001D4433"/>
    <w:rPr>
      <w:rFonts w:eastAsiaTheme="majorEastAsia" w:cstheme="majorBidi"/>
      <w:iCs/>
      <w:spacing w:val="15"/>
      <w:sz w:val="20"/>
    </w:rPr>
  </w:style>
  <w:style w:type="character" w:customStyle="1" w:styleId="Heading2Char">
    <w:name w:val="Heading 2 Char"/>
    <w:basedOn w:val="DefaultParagraphFont"/>
    <w:link w:val="Heading2"/>
    <w:uiPriority w:val="9"/>
    <w:rsid w:val="000F2037"/>
    <w:rPr>
      <w:szCs w:val="22"/>
    </w:rPr>
  </w:style>
  <w:style w:type="paragraph" w:styleId="FootnoteText">
    <w:name w:val="footnote text"/>
    <w:basedOn w:val="Normal"/>
    <w:link w:val="FootnoteTextChar"/>
    <w:uiPriority w:val="99"/>
    <w:unhideWhenUsed/>
    <w:rsid w:val="00775F00"/>
    <w:rPr>
      <w:rFonts w:eastAsia="Times New Roman" w:cs="Times New Roman"/>
      <w:sz w:val="20"/>
      <w:szCs w:val="20"/>
    </w:rPr>
  </w:style>
  <w:style w:type="character" w:customStyle="1" w:styleId="FootnoteTextChar">
    <w:name w:val="Footnote Text Char"/>
    <w:basedOn w:val="DefaultParagraphFont"/>
    <w:link w:val="FootnoteText"/>
    <w:uiPriority w:val="99"/>
    <w:rsid w:val="00775F00"/>
    <w:rPr>
      <w:rFonts w:eastAsia="Times New Roman" w:cs="Times New Roman"/>
      <w:sz w:val="20"/>
      <w:szCs w:val="20"/>
      <w:lang w:val="en-GB"/>
    </w:rPr>
  </w:style>
  <w:style w:type="character" w:styleId="FootnoteReference">
    <w:name w:val="footnote reference"/>
    <w:basedOn w:val="DefaultParagraphFont"/>
    <w:uiPriority w:val="99"/>
    <w:semiHidden/>
    <w:unhideWhenUsed/>
    <w:rsid w:val="00775F00"/>
    <w:rPr>
      <w:vertAlign w:val="superscript"/>
    </w:rPr>
  </w:style>
  <w:style w:type="paragraph" w:styleId="ListParagraph">
    <w:name w:val="List Paragraph"/>
    <w:basedOn w:val="Normal"/>
    <w:uiPriority w:val="34"/>
    <w:qFormat/>
    <w:rsid w:val="00757ABE"/>
    <w:pPr>
      <w:ind w:left="720"/>
      <w:contextualSpacing/>
    </w:pPr>
  </w:style>
  <w:style w:type="paragraph" w:styleId="Header">
    <w:name w:val="header"/>
    <w:basedOn w:val="Normal"/>
    <w:link w:val="HeaderChar"/>
    <w:uiPriority w:val="99"/>
    <w:unhideWhenUsed/>
    <w:rsid w:val="00D3733B"/>
    <w:pPr>
      <w:tabs>
        <w:tab w:val="center" w:pos="4680"/>
        <w:tab w:val="right" w:pos="9360"/>
      </w:tabs>
    </w:pPr>
  </w:style>
  <w:style w:type="character" w:customStyle="1" w:styleId="HeaderChar">
    <w:name w:val="Header Char"/>
    <w:basedOn w:val="DefaultParagraphFont"/>
    <w:link w:val="Header"/>
    <w:uiPriority w:val="99"/>
    <w:rsid w:val="00D3733B"/>
    <w:rPr>
      <w:szCs w:val="22"/>
      <w:lang w:val="en-GB"/>
    </w:rPr>
  </w:style>
  <w:style w:type="paragraph" w:styleId="Footer">
    <w:name w:val="footer"/>
    <w:basedOn w:val="Normal"/>
    <w:link w:val="FooterChar"/>
    <w:uiPriority w:val="99"/>
    <w:unhideWhenUsed/>
    <w:rsid w:val="00D3733B"/>
    <w:pPr>
      <w:tabs>
        <w:tab w:val="center" w:pos="4680"/>
        <w:tab w:val="right" w:pos="9360"/>
      </w:tabs>
    </w:pPr>
  </w:style>
  <w:style w:type="character" w:customStyle="1" w:styleId="FooterChar">
    <w:name w:val="Footer Char"/>
    <w:basedOn w:val="DefaultParagraphFont"/>
    <w:link w:val="Footer"/>
    <w:uiPriority w:val="99"/>
    <w:rsid w:val="00D3733B"/>
    <w:rPr>
      <w:szCs w:val="22"/>
      <w:lang w:val="en-GB"/>
    </w:rPr>
  </w:style>
  <w:style w:type="paragraph" w:styleId="BalloonText">
    <w:name w:val="Balloon Text"/>
    <w:basedOn w:val="Normal"/>
    <w:link w:val="BalloonTextChar"/>
    <w:uiPriority w:val="99"/>
    <w:semiHidden/>
    <w:unhideWhenUsed/>
    <w:rsid w:val="00572030"/>
    <w:rPr>
      <w:rFonts w:ascii="Tahoma" w:hAnsi="Tahoma" w:cs="Tahoma"/>
      <w:sz w:val="16"/>
      <w:szCs w:val="16"/>
    </w:rPr>
  </w:style>
  <w:style w:type="character" w:customStyle="1" w:styleId="BalloonTextChar">
    <w:name w:val="Balloon Text Char"/>
    <w:basedOn w:val="DefaultParagraphFont"/>
    <w:link w:val="BalloonText"/>
    <w:uiPriority w:val="99"/>
    <w:semiHidden/>
    <w:rsid w:val="00572030"/>
    <w:rPr>
      <w:rFonts w:ascii="Tahoma" w:hAnsi="Tahoma" w:cs="Tahoma"/>
      <w:sz w:val="16"/>
      <w:szCs w:val="16"/>
      <w:lang w:val="en-GB"/>
    </w:rPr>
  </w:style>
  <w:style w:type="character" w:styleId="Hyperlink">
    <w:name w:val="Hyperlink"/>
    <w:basedOn w:val="DefaultParagraphFont"/>
    <w:uiPriority w:val="99"/>
    <w:unhideWhenUsed/>
    <w:rsid w:val="00C62CD0"/>
    <w:rPr>
      <w:color w:val="0000FF" w:themeColor="hyperlink"/>
      <w:u w:val="single"/>
    </w:rPr>
  </w:style>
  <w:style w:type="paragraph" w:customStyle="1" w:styleId="default">
    <w:name w:val="default"/>
    <w:basedOn w:val="Normal"/>
    <w:uiPriority w:val="99"/>
    <w:rsid w:val="006F2612"/>
    <w:pPr>
      <w:autoSpaceDE w:val="0"/>
      <w:autoSpaceDN w:val="0"/>
    </w:pPr>
    <w:rPr>
      <w:rFonts w:ascii="Arial" w:hAnsi="Arial" w:cs="Arial"/>
      <w:color w:val="000000"/>
      <w:szCs w:val="24"/>
      <w:lang w:val="en-US"/>
    </w:rPr>
  </w:style>
  <w:style w:type="character" w:styleId="FollowedHyperlink">
    <w:name w:val="FollowedHyperlink"/>
    <w:basedOn w:val="DefaultParagraphFont"/>
    <w:uiPriority w:val="99"/>
    <w:semiHidden/>
    <w:unhideWhenUsed/>
    <w:rsid w:val="006F2612"/>
    <w:rPr>
      <w:color w:val="800080" w:themeColor="followedHyperlink"/>
      <w:u w:val="single"/>
    </w:rPr>
  </w:style>
  <w:style w:type="character" w:styleId="CommentReference">
    <w:name w:val="annotation reference"/>
    <w:basedOn w:val="DefaultParagraphFont"/>
    <w:uiPriority w:val="99"/>
    <w:semiHidden/>
    <w:unhideWhenUsed/>
    <w:rsid w:val="004A1851"/>
    <w:rPr>
      <w:sz w:val="18"/>
      <w:szCs w:val="18"/>
    </w:rPr>
  </w:style>
  <w:style w:type="paragraph" w:styleId="CommentText">
    <w:name w:val="annotation text"/>
    <w:basedOn w:val="Normal"/>
    <w:link w:val="CommentTextChar"/>
    <w:uiPriority w:val="99"/>
    <w:semiHidden/>
    <w:unhideWhenUsed/>
    <w:rsid w:val="004A1851"/>
    <w:rPr>
      <w:szCs w:val="24"/>
    </w:rPr>
  </w:style>
  <w:style w:type="character" w:customStyle="1" w:styleId="CommentTextChar">
    <w:name w:val="Comment Text Char"/>
    <w:basedOn w:val="DefaultParagraphFont"/>
    <w:link w:val="CommentText"/>
    <w:uiPriority w:val="99"/>
    <w:semiHidden/>
    <w:rsid w:val="004A1851"/>
    <w:rPr>
      <w:lang w:val="en-GB"/>
    </w:rPr>
  </w:style>
  <w:style w:type="paragraph" w:styleId="CommentSubject">
    <w:name w:val="annotation subject"/>
    <w:basedOn w:val="CommentText"/>
    <w:next w:val="CommentText"/>
    <w:link w:val="CommentSubjectChar"/>
    <w:uiPriority w:val="99"/>
    <w:semiHidden/>
    <w:unhideWhenUsed/>
    <w:rsid w:val="004A1851"/>
    <w:rPr>
      <w:b/>
      <w:bCs/>
      <w:sz w:val="20"/>
      <w:szCs w:val="20"/>
    </w:rPr>
  </w:style>
  <w:style w:type="character" w:customStyle="1" w:styleId="CommentSubjectChar">
    <w:name w:val="Comment Subject Char"/>
    <w:basedOn w:val="CommentTextChar"/>
    <w:link w:val="CommentSubject"/>
    <w:uiPriority w:val="99"/>
    <w:semiHidden/>
    <w:rsid w:val="004A1851"/>
    <w:rPr>
      <w:b/>
      <w:bCs/>
      <w:sz w:val="20"/>
      <w:szCs w:val="20"/>
      <w:lang w:val="en-GB"/>
    </w:rPr>
  </w:style>
  <w:style w:type="paragraph" w:customStyle="1" w:styleId="Default0">
    <w:name w:val="Default"/>
    <w:rsid w:val="009B50C3"/>
    <w:pPr>
      <w:autoSpaceDE w:val="0"/>
      <w:autoSpaceDN w:val="0"/>
      <w:adjustRightInd w:val="0"/>
    </w:pPr>
    <w:rPr>
      <w:rFonts w:ascii="Garamond" w:hAnsi="Garamond" w:cs="Garamon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267">
    <w:lsdException w:name="footnote text" w:uiPriority="99"/>
    <w:lsdException w:name="footnote reference" w:uiPriority="99"/>
  </w:latentStyles>
  <w:style w:type="paragraph" w:default="1" w:styleId="Normal">
    <w:name w:val="Normal"/>
    <w:qFormat/>
    <w:rsid w:val="009E7E52"/>
    <w:rPr>
      <w:szCs w:val="22"/>
      <w:lang w:val="en-GB"/>
    </w:rPr>
  </w:style>
  <w:style w:type="paragraph" w:styleId="Heading1">
    <w:name w:val="heading 1"/>
    <w:basedOn w:val="Normal"/>
    <w:next w:val="Normal"/>
    <w:link w:val="Heading1Char"/>
    <w:uiPriority w:val="9"/>
    <w:qFormat/>
    <w:rsid w:val="000F2037"/>
    <w:pPr>
      <w:outlineLvl w:val="0"/>
    </w:pPr>
    <w:rPr>
      <w:lang w:val="en-US"/>
    </w:rPr>
  </w:style>
  <w:style w:type="paragraph" w:styleId="Heading2">
    <w:name w:val="heading 2"/>
    <w:basedOn w:val="Normal"/>
    <w:next w:val="Normal"/>
    <w:link w:val="Heading2Char"/>
    <w:uiPriority w:val="9"/>
    <w:unhideWhenUsed/>
    <w:qFormat/>
    <w:rsid w:val="000F2037"/>
    <w:pPr>
      <w:outlineLvl w:val="1"/>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037"/>
    <w:rPr>
      <w:szCs w:val="22"/>
    </w:rPr>
  </w:style>
  <w:style w:type="paragraph" w:styleId="Subtitle">
    <w:name w:val="Subtitle"/>
    <w:basedOn w:val="Normal"/>
    <w:next w:val="Normal"/>
    <w:link w:val="SubtitleChar"/>
    <w:uiPriority w:val="11"/>
    <w:qFormat/>
    <w:rsid w:val="001D4433"/>
    <w:pPr>
      <w:numPr>
        <w:ilvl w:val="1"/>
      </w:numPr>
    </w:pPr>
    <w:rPr>
      <w:rFonts w:eastAsiaTheme="majorEastAsia" w:cstheme="majorBidi"/>
      <w:iCs/>
      <w:spacing w:val="15"/>
      <w:sz w:val="20"/>
    </w:rPr>
  </w:style>
  <w:style w:type="character" w:customStyle="1" w:styleId="SubtitleChar">
    <w:name w:val="Subtitle Char"/>
    <w:basedOn w:val="DefaultParagraphFont"/>
    <w:link w:val="Subtitle"/>
    <w:uiPriority w:val="11"/>
    <w:rsid w:val="001D4433"/>
    <w:rPr>
      <w:rFonts w:eastAsiaTheme="majorEastAsia" w:cstheme="majorBidi"/>
      <w:iCs/>
      <w:spacing w:val="15"/>
      <w:sz w:val="20"/>
    </w:rPr>
  </w:style>
  <w:style w:type="character" w:customStyle="1" w:styleId="Heading2Char">
    <w:name w:val="Heading 2 Char"/>
    <w:basedOn w:val="DefaultParagraphFont"/>
    <w:link w:val="Heading2"/>
    <w:uiPriority w:val="9"/>
    <w:rsid w:val="000F2037"/>
    <w:rPr>
      <w:szCs w:val="22"/>
    </w:rPr>
  </w:style>
  <w:style w:type="paragraph" w:styleId="FootnoteText">
    <w:name w:val="footnote text"/>
    <w:basedOn w:val="Normal"/>
    <w:link w:val="FootnoteTextChar"/>
    <w:uiPriority w:val="99"/>
    <w:unhideWhenUsed/>
    <w:rsid w:val="00775F00"/>
    <w:rPr>
      <w:rFonts w:eastAsia="Times New Roman" w:cs="Times New Roman"/>
      <w:sz w:val="20"/>
      <w:szCs w:val="20"/>
    </w:rPr>
  </w:style>
  <w:style w:type="character" w:customStyle="1" w:styleId="FootnoteTextChar">
    <w:name w:val="Footnote Text Char"/>
    <w:basedOn w:val="DefaultParagraphFont"/>
    <w:link w:val="FootnoteText"/>
    <w:uiPriority w:val="99"/>
    <w:rsid w:val="00775F00"/>
    <w:rPr>
      <w:rFonts w:eastAsia="Times New Roman" w:cs="Times New Roman"/>
      <w:sz w:val="20"/>
      <w:szCs w:val="20"/>
      <w:lang w:val="en-GB"/>
    </w:rPr>
  </w:style>
  <w:style w:type="character" w:styleId="FootnoteReference">
    <w:name w:val="footnote reference"/>
    <w:basedOn w:val="DefaultParagraphFont"/>
    <w:uiPriority w:val="99"/>
    <w:semiHidden/>
    <w:unhideWhenUsed/>
    <w:rsid w:val="00775F00"/>
    <w:rPr>
      <w:vertAlign w:val="superscript"/>
    </w:rPr>
  </w:style>
  <w:style w:type="paragraph" w:styleId="ListParagraph">
    <w:name w:val="List Paragraph"/>
    <w:basedOn w:val="Normal"/>
    <w:uiPriority w:val="34"/>
    <w:qFormat/>
    <w:rsid w:val="00757ABE"/>
    <w:pPr>
      <w:ind w:left="720"/>
      <w:contextualSpacing/>
    </w:pPr>
  </w:style>
  <w:style w:type="paragraph" w:styleId="Header">
    <w:name w:val="header"/>
    <w:basedOn w:val="Normal"/>
    <w:link w:val="HeaderChar"/>
    <w:uiPriority w:val="99"/>
    <w:unhideWhenUsed/>
    <w:rsid w:val="00D3733B"/>
    <w:pPr>
      <w:tabs>
        <w:tab w:val="center" w:pos="4680"/>
        <w:tab w:val="right" w:pos="9360"/>
      </w:tabs>
    </w:pPr>
  </w:style>
  <w:style w:type="character" w:customStyle="1" w:styleId="HeaderChar">
    <w:name w:val="Header Char"/>
    <w:basedOn w:val="DefaultParagraphFont"/>
    <w:link w:val="Header"/>
    <w:uiPriority w:val="99"/>
    <w:rsid w:val="00D3733B"/>
    <w:rPr>
      <w:szCs w:val="22"/>
      <w:lang w:val="en-GB"/>
    </w:rPr>
  </w:style>
  <w:style w:type="paragraph" w:styleId="Footer">
    <w:name w:val="footer"/>
    <w:basedOn w:val="Normal"/>
    <w:link w:val="FooterChar"/>
    <w:uiPriority w:val="99"/>
    <w:unhideWhenUsed/>
    <w:rsid w:val="00D3733B"/>
    <w:pPr>
      <w:tabs>
        <w:tab w:val="center" w:pos="4680"/>
        <w:tab w:val="right" w:pos="9360"/>
      </w:tabs>
    </w:pPr>
  </w:style>
  <w:style w:type="character" w:customStyle="1" w:styleId="FooterChar">
    <w:name w:val="Footer Char"/>
    <w:basedOn w:val="DefaultParagraphFont"/>
    <w:link w:val="Footer"/>
    <w:uiPriority w:val="99"/>
    <w:rsid w:val="00D3733B"/>
    <w:rPr>
      <w:szCs w:val="22"/>
      <w:lang w:val="en-GB"/>
    </w:rPr>
  </w:style>
  <w:style w:type="paragraph" w:styleId="BalloonText">
    <w:name w:val="Balloon Text"/>
    <w:basedOn w:val="Normal"/>
    <w:link w:val="BalloonTextChar"/>
    <w:uiPriority w:val="99"/>
    <w:semiHidden/>
    <w:unhideWhenUsed/>
    <w:rsid w:val="00572030"/>
    <w:rPr>
      <w:rFonts w:ascii="Tahoma" w:hAnsi="Tahoma" w:cs="Tahoma"/>
      <w:sz w:val="16"/>
      <w:szCs w:val="16"/>
    </w:rPr>
  </w:style>
  <w:style w:type="character" w:customStyle="1" w:styleId="BalloonTextChar">
    <w:name w:val="Balloon Text Char"/>
    <w:basedOn w:val="DefaultParagraphFont"/>
    <w:link w:val="BalloonText"/>
    <w:uiPriority w:val="99"/>
    <w:semiHidden/>
    <w:rsid w:val="00572030"/>
    <w:rPr>
      <w:rFonts w:ascii="Tahoma" w:hAnsi="Tahoma" w:cs="Tahoma"/>
      <w:sz w:val="16"/>
      <w:szCs w:val="16"/>
      <w:lang w:val="en-GB"/>
    </w:rPr>
  </w:style>
  <w:style w:type="character" w:styleId="Hyperlink">
    <w:name w:val="Hyperlink"/>
    <w:basedOn w:val="DefaultParagraphFont"/>
    <w:uiPriority w:val="99"/>
    <w:unhideWhenUsed/>
    <w:rsid w:val="00C62CD0"/>
    <w:rPr>
      <w:color w:val="0000FF" w:themeColor="hyperlink"/>
      <w:u w:val="single"/>
    </w:rPr>
  </w:style>
  <w:style w:type="paragraph" w:customStyle="1" w:styleId="default">
    <w:name w:val="default"/>
    <w:basedOn w:val="Normal"/>
    <w:uiPriority w:val="99"/>
    <w:rsid w:val="006F2612"/>
    <w:pPr>
      <w:autoSpaceDE w:val="0"/>
      <w:autoSpaceDN w:val="0"/>
    </w:pPr>
    <w:rPr>
      <w:rFonts w:ascii="Arial" w:hAnsi="Arial" w:cs="Arial"/>
      <w:color w:val="000000"/>
      <w:szCs w:val="24"/>
      <w:lang w:val="en-US"/>
    </w:rPr>
  </w:style>
  <w:style w:type="character" w:styleId="FollowedHyperlink">
    <w:name w:val="FollowedHyperlink"/>
    <w:basedOn w:val="DefaultParagraphFont"/>
    <w:uiPriority w:val="99"/>
    <w:semiHidden/>
    <w:unhideWhenUsed/>
    <w:rsid w:val="006F2612"/>
    <w:rPr>
      <w:color w:val="800080" w:themeColor="followedHyperlink"/>
      <w:u w:val="single"/>
    </w:rPr>
  </w:style>
  <w:style w:type="character" w:styleId="CommentReference">
    <w:name w:val="annotation reference"/>
    <w:basedOn w:val="DefaultParagraphFont"/>
    <w:uiPriority w:val="99"/>
    <w:semiHidden/>
    <w:unhideWhenUsed/>
    <w:rsid w:val="004A1851"/>
    <w:rPr>
      <w:sz w:val="18"/>
      <w:szCs w:val="18"/>
    </w:rPr>
  </w:style>
  <w:style w:type="paragraph" w:styleId="CommentText">
    <w:name w:val="annotation text"/>
    <w:basedOn w:val="Normal"/>
    <w:link w:val="CommentTextChar"/>
    <w:uiPriority w:val="99"/>
    <w:semiHidden/>
    <w:unhideWhenUsed/>
    <w:rsid w:val="004A1851"/>
    <w:rPr>
      <w:szCs w:val="24"/>
    </w:rPr>
  </w:style>
  <w:style w:type="character" w:customStyle="1" w:styleId="CommentTextChar">
    <w:name w:val="Comment Text Char"/>
    <w:basedOn w:val="DefaultParagraphFont"/>
    <w:link w:val="CommentText"/>
    <w:uiPriority w:val="99"/>
    <w:semiHidden/>
    <w:rsid w:val="004A1851"/>
    <w:rPr>
      <w:lang w:val="en-GB"/>
    </w:rPr>
  </w:style>
  <w:style w:type="paragraph" w:styleId="CommentSubject">
    <w:name w:val="annotation subject"/>
    <w:basedOn w:val="CommentText"/>
    <w:next w:val="CommentText"/>
    <w:link w:val="CommentSubjectChar"/>
    <w:uiPriority w:val="99"/>
    <w:semiHidden/>
    <w:unhideWhenUsed/>
    <w:rsid w:val="004A1851"/>
    <w:rPr>
      <w:b/>
      <w:bCs/>
      <w:sz w:val="20"/>
      <w:szCs w:val="20"/>
    </w:rPr>
  </w:style>
  <w:style w:type="character" w:customStyle="1" w:styleId="CommentSubjectChar">
    <w:name w:val="Comment Subject Char"/>
    <w:basedOn w:val="CommentTextChar"/>
    <w:link w:val="CommentSubject"/>
    <w:uiPriority w:val="99"/>
    <w:semiHidden/>
    <w:rsid w:val="004A1851"/>
    <w:rPr>
      <w:b/>
      <w:bCs/>
      <w:sz w:val="20"/>
      <w:szCs w:val="20"/>
      <w:lang w:val="en-GB"/>
    </w:rPr>
  </w:style>
</w:styles>
</file>

<file path=word/webSettings.xml><?xml version="1.0" encoding="utf-8"?>
<w:webSettings xmlns:r="http://schemas.openxmlformats.org/officeDocument/2006/relationships" xmlns:w="http://schemas.openxmlformats.org/wordprocessingml/2006/main">
  <w:divs>
    <w:div w:id="612126602">
      <w:bodyDiv w:val="1"/>
      <w:marLeft w:val="0"/>
      <w:marRight w:val="0"/>
      <w:marTop w:val="0"/>
      <w:marBottom w:val="0"/>
      <w:divBdr>
        <w:top w:val="none" w:sz="0" w:space="0" w:color="auto"/>
        <w:left w:val="none" w:sz="0" w:space="0" w:color="auto"/>
        <w:bottom w:val="none" w:sz="0" w:space="0" w:color="auto"/>
        <w:right w:val="none" w:sz="0" w:space="0" w:color="auto"/>
      </w:divBdr>
    </w:div>
    <w:div w:id="653484774">
      <w:bodyDiv w:val="1"/>
      <w:marLeft w:val="0"/>
      <w:marRight w:val="0"/>
      <w:marTop w:val="0"/>
      <w:marBottom w:val="0"/>
      <w:divBdr>
        <w:top w:val="none" w:sz="0" w:space="0" w:color="auto"/>
        <w:left w:val="none" w:sz="0" w:space="0" w:color="auto"/>
        <w:bottom w:val="none" w:sz="0" w:space="0" w:color="auto"/>
        <w:right w:val="none" w:sz="0" w:space="0" w:color="auto"/>
      </w:divBdr>
    </w:div>
    <w:div w:id="694963970">
      <w:bodyDiv w:val="1"/>
      <w:marLeft w:val="0"/>
      <w:marRight w:val="0"/>
      <w:marTop w:val="0"/>
      <w:marBottom w:val="0"/>
      <w:divBdr>
        <w:top w:val="none" w:sz="0" w:space="0" w:color="auto"/>
        <w:left w:val="none" w:sz="0" w:space="0" w:color="auto"/>
        <w:bottom w:val="none" w:sz="0" w:space="0" w:color="auto"/>
        <w:right w:val="none" w:sz="0" w:space="0" w:color="auto"/>
      </w:divBdr>
    </w:div>
    <w:div w:id="829637706">
      <w:bodyDiv w:val="1"/>
      <w:marLeft w:val="0"/>
      <w:marRight w:val="0"/>
      <w:marTop w:val="0"/>
      <w:marBottom w:val="0"/>
      <w:divBdr>
        <w:top w:val="none" w:sz="0" w:space="0" w:color="auto"/>
        <w:left w:val="none" w:sz="0" w:space="0" w:color="auto"/>
        <w:bottom w:val="none" w:sz="0" w:space="0" w:color="auto"/>
        <w:right w:val="none" w:sz="0" w:space="0" w:color="auto"/>
      </w:divBdr>
    </w:div>
    <w:div w:id="896628392">
      <w:bodyDiv w:val="1"/>
      <w:marLeft w:val="0"/>
      <w:marRight w:val="0"/>
      <w:marTop w:val="0"/>
      <w:marBottom w:val="0"/>
      <w:divBdr>
        <w:top w:val="none" w:sz="0" w:space="0" w:color="auto"/>
        <w:left w:val="none" w:sz="0" w:space="0" w:color="auto"/>
        <w:bottom w:val="none" w:sz="0" w:space="0" w:color="auto"/>
        <w:right w:val="none" w:sz="0" w:space="0" w:color="auto"/>
      </w:divBdr>
    </w:div>
    <w:div w:id="1254705392">
      <w:bodyDiv w:val="1"/>
      <w:marLeft w:val="0"/>
      <w:marRight w:val="0"/>
      <w:marTop w:val="0"/>
      <w:marBottom w:val="0"/>
      <w:divBdr>
        <w:top w:val="none" w:sz="0" w:space="0" w:color="auto"/>
        <w:left w:val="none" w:sz="0" w:space="0" w:color="auto"/>
        <w:bottom w:val="none" w:sz="0" w:space="0" w:color="auto"/>
        <w:right w:val="none" w:sz="0" w:space="0" w:color="auto"/>
      </w:divBdr>
    </w:div>
    <w:div w:id="1416591544">
      <w:bodyDiv w:val="1"/>
      <w:marLeft w:val="0"/>
      <w:marRight w:val="0"/>
      <w:marTop w:val="0"/>
      <w:marBottom w:val="0"/>
      <w:divBdr>
        <w:top w:val="none" w:sz="0" w:space="0" w:color="auto"/>
        <w:left w:val="none" w:sz="0" w:space="0" w:color="auto"/>
        <w:bottom w:val="none" w:sz="0" w:space="0" w:color="auto"/>
        <w:right w:val="none" w:sz="0" w:space="0" w:color="auto"/>
      </w:divBdr>
    </w:div>
    <w:div w:id="178187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7533</Characters>
  <Application>Microsoft Office Word</Application>
  <DocSecurity>0</DocSecurity>
  <Lines>107</Lines>
  <Paragraphs>12</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Pegram</dc:creator>
  <cp:lastModifiedBy>Tom</cp:lastModifiedBy>
  <cp:revision>2</cp:revision>
  <cp:lastPrinted>2011-04-07T22:50:00Z</cp:lastPrinted>
  <dcterms:created xsi:type="dcterms:W3CDTF">2011-04-28T22:29:00Z</dcterms:created>
  <dcterms:modified xsi:type="dcterms:W3CDTF">2011-04-28T22:29:00Z</dcterms:modified>
</cp:coreProperties>
</file>