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F36" w:rsidRPr="00F10F36" w:rsidRDefault="00F10F36" w:rsidP="00D10BC0">
      <w:pPr>
        <w:jc w:val="center"/>
        <w:outlineLvl w:val="0"/>
        <w:rPr>
          <w:b/>
        </w:rPr>
      </w:pPr>
      <w:r w:rsidRPr="00F10F36">
        <w:rPr>
          <w:b/>
        </w:rPr>
        <w:t>First Meeting of National Focal Points</w:t>
      </w:r>
    </w:p>
    <w:p w:rsidR="00F10F36" w:rsidRPr="00F10F36" w:rsidRDefault="00F10F36" w:rsidP="00F10F36">
      <w:pPr>
        <w:jc w:val="center"/>
        <w:rPr>
          <w:b/>
        </w:rPr>
      </w:pPr>
      <w:r w:rsidRPr="00F10F36">
        <w:rPr>
          <w:b/>
        </w:rPr>
        <w:t>Jointly convened by the Foreign Ministries of Costa Rica, Denmark and Ghana, in association with the Global Centre for the Responsibility to Protect</w:t>
      </w:r>
    </w:p>
    <w:p w:rsidR="00F10F36" w:rsidRDefault="00F10F36">
      <w:pPr>
        <w:rPr>
          <w:b/>
        </w:rPr>
      </w:pPr>
    </w:p>
    <w:p w:rsidR="00F10F36" w:rsidRPr="00F10F36" w:rsidRDefault="00F10F36" w:rsidP="00F10F36">
      <w:pPr>
        <w:rPr>
          <w:b/>
        </w:rPr>
      </w:pPr>
      <w:r w:rsidRPr="00F10F36">
        <w:rPr>
          <w:b/>
        </w:rPr>
        <w:t>Fulfilling the Responsibility to Protect: Strengthening National and Collective Capacities to Prevent and Halt Mass Atrocities</w:t>
      </w:r>
    </w:p>
    <w:p w:rsidR="00F10F36" w:rsidRDefault="00F10F36" w:rsidP="00F10F36">
      <w:pPr>
        <w:rPr>
          <w:b/>
        </w:rPr>
      </w:pPr>
    </w:p>
    <w:p w:rsidR="00F10F36" w:rsidRPr="00E25B66" w:rsidRDefault="00F10F36" w:rsidP="00D10BC0">
      <w:pPr>
        <w:outlineLvl w:val="0"/>
        <w:rPr>
          <w:b/>
        </w:rPr>
      </w:pPr>
      <w:r w:rsidRPr="00E25B66">
        <w:rPr>
          <w:b/>
        </w:rPr>
        <w:t>The Role of National Human Rights Institutions</w:t>
      </w:r>
    </w:p>
    <w:p w:rsidR="00703A00" w:rsidRPr="00E25B66" w:rsidRDefault="00703A00" w:rsidP="00F81346"/>
    <w:p w:rsidR="0008757C" w:rsidRPr="00E25B66" w:rsidRDefault="0008757C" w:rsidP="00F81346">
      <w:r w:rsidRPr="00E25B66">
        <w:t>Thank you for the invitation to speak today</w:t>
      </w:r>
      <w:r w:rsidR="00156476" w:rsidRPr="00E25B66">
        <w:t xml:space="preserve">, I am going to </w:t>
      </w:r>
      <w:r w:rsidRPr="00E25B66">
        <w:t xml:space="preserve">address the topic of </w:t>
      </w:r>
      <w:r w:rsidR="00766273" w:rsidRPr="00E25B66">
        <w:t xml:space="preserve">National Human Rights Institutions or </w:t>
      </w:r>
      <w:r w:rsidR="00D10BC0" w:rsidRPr="00E25B66">
        <w:t>NHRIs</w:t>
      </w:r>
      <w:r w:rsidR="00C07425" w:rsidRPr="00E25B66">
        <w:t xml:space="preserve"> </w:t>
      </w:r>
      <w:r w:rsidR="00156476" w:rsidRPr="00E25B66">
        <w:t xml:space="preserve">and </w:t>
      </w:r>
      <w:r w:rsidR="00FC7D18" w:rsidRPr="00E25B66">
        <w:t xml:space="preserve">their relevance to engaging with the potential role of </w:t>
      </w:r>
      <w:r w:rsidR="00D10BC0" w:rsidRPr="00E25B66">
        <w:t xml:space="preserve">national “focal points” for R2P implementation.  </w:t>
      </w:r>
    </w:p>
    <w:p w:rsidR="0008757C" w:rsidRPr="00E25B66" w:rsidRDefault="0008757C" w:rsidP="00F81346"/>
    <w:p w:rsidR="00766273" w:rsidRPr="00E25B66" w:rsidRDefault="009A37C2" w:rsidP="00F81346">
      <w:r w:rsidRPr="00E25B66">
        <w:t xml:space="preserve">NHRIs can be broadly </w:t>
      </w:r>
      <w:r w:rsidR="00FC7D18" w:rsidRPr="00E25B66">
        <w:t xml:space="preserve">defined </w:t>
      </w:r>
      <w:r w:rsidRPr="00E25B66">
        <w:t>as “</w:t>
      </w:r>
      <w:r w:rsidR="00766273" w:rsidRPr="00E25B66">
        <w:t xml:space="preserve">independent statutory </w:t>
      </w:r>
      <w:r w:rsidRPr="00E25B66">
        <w:t>bodies established by government and specifically designed in terms of the promotion and protection of human rights.”</w:t>
      </w:r>
    </w:p>
    <w:p w:rsidR="00766273" w:rsidRPr="00E25B66" w:rsidRDefault="00766273" w:rsidP="00F81346"/>
    <w:p w:rsidR="007857A7" w:rsidRPr="00E25B66" w:rsidRDefault="00D10BC0" w:rsidP="00F81346">
      <w:r w:rsidRPr="00E25B66">
        <w:t xml:space="preserve">The </w:t>
      </w:r>
      <w:r w:rsidR="00766273" w:rsidRPr="00E25B66">
        <w:t xml:space="preserve">documented </w:t>
      </w:r>
      <w:r w:rsidRPr="00E25B66">
        <w:t xml:space="preserve">experience of </w:t>
      </w:r>
      <w:r w:rsidR="00E96581" w:rsidRPr="00E25B66">
        <w:t xml:space="preserve">NHRIs </w:t>
      </w:r>
      <w:r w:rsidRPr="00E25B66">
        <w:t xml:space="preserve">offers insight into the opportunities and challenges that confront local </w:t>
      </w:r>
      <w:r w:rsidR="00766273" w:rsidRPr="00E25B66">
        <w:t xml:space="preserve">state and non-state actors who seek to advance an R2P agenda and, </w:t>
      </w:r>
      <w:r w:rsidR="00E96581" w:rsidRPr="00E25B66">
        <w:t>most pressingly</w:t>
      </w:r>
      <w:r w:rsidR="00766273" w:rsidRPr="00E25B66">
        <w:t>, respond</w:t>
      </w:r>
      <w:r w:rsidR="000B42E1" w:rsidRPr="00E25B66">
        <w:t xml:space="preserve"> to</w:t>
      </w:r>
      <w:r w:rsidR="00C07425" w:rsidRPr="00E25B66">
        <w:t xml:space="preserve"> </w:t>
      </w:r>
      <w:r w:rsidR="00156476" w:rsidRPr="00E25B66">
        <w:t xml:space="preserve">the </w:t>
      </w:r>
      <w:r w:rsidR="00C07425" w:rsidRPr="00E25B66">
        <w:t xml:space="preserve">precursors </w:t>
      </w:r>
      <w:r w:rsidR="00156476" w:rsidRPr="00E25B66">
        <w:t xml:space="preserve">of </w:t>
      </w:r>
      <w:r w:rsidR="000B42E1" w:rsidRPr="00E25B66">
        <w:t>mass atrocit</w:t>
      </w:r>
      <w:r w:rsidR="00C07425" w:rsidRPr="00E25B66">
        <w:t>y-producing situations</w:t>
      </w:r>
      <w:r w:rsidR="00D91944" w:rsidRPr="00E25B66">
        <w:t xml:space="preserve">.  </w:t>
      </w:r>
    </w:p>
    <w:p w:rsidR="007857A7" w:rsidRPr="00E25B66" w:rsidRDefault="007857A7" w:rsidP="00F81346"/>
    <w:p w:rsidR="0016080A" w:rsidRPr="00E25B66" w:rsidRDefault="00D10BC0" w:rsidP="00766273">
      <w:pPr>
        <w:outlineLvl w:val="0"/>
      </w:pPr>
      <w:r w:rsidRPr="00E25B66">
        <w:t xml:space="preserve">This presentation </w:t>
      </w:r>
      <w:r w:rsidR="00766273" w:rsidRPr="00E25B66">
        <w:t>begin</w:t>
      </w:r>
      <w:r w:rsidR="00156476" w:rsidRPr="00E25B66">
        <w:t>s</w:t>
      </w:r>
      <w:r w:rsidR="007857A7" w:rsidRPr="00E25B66">
        <w:t xml:space="preserve"> by setting out </w:t>
      </w:r>
      <w:r w:rsidR="00766273" w:rsidRPr="00E25B66">
        <w:t xml:space="preserve">how </w:t>
      </w:r>
      <w:r w:rsidR="007857A7" w:rsidRPr="00E25B66">
        <w:t xml:space="preserve">NHRIs </w:t>
      </w:r>
      <w:r w:rsidR="00766273" w:rsidRPr="00E25B66">
        <w:t xml:space="preserve">are already – in </w:t>
      </w:r>
      <w:r w:rsidR="002056C5" w:rsidRPr="00E25B66">
        <w:t>some</w:t>
      </w:r>
      <w:r w:rsidR="00766273" w:rsidRPr="00E25B66">
        <w:t xml:space="preserve"> cases –</w:t>
      </w:r>
      <w:r w:rsidR="00156476" w:rsidRPr="00E25B66">
        <w:t xml:space="preserve"> playing a role</w:t>
      </w:r>
      <w:r w:rsidR="00C07425" w:rsidRPr="00E25B66">
        <w:t xml:space="preserve"> at the national level that </w:t>
      </w:r>
      <w:r w:rsidR="00156476" w:rsidRPr="00E25B66">
        <w:t xml:space="preserve">is </w:t>
      </w:r>
      <w:r w:rsidR="00C07425" w:rsidRPr="00E25B66">
        <w:t xml:space="preserve">compatible with </w:t>
      </w:r>
      <w:r w:rsidR="00766273" w:rsidRPr="00E25B66">
        <w:t xml:space="preserve">R2P </w:t>
      </w:r>
      <w:r w:rsidR="00E96581" w:rsidRPr="00E25B66">
        <w:t>objectives</w:t>
      </w:r>
      <w:r w:rsidR="007857A7" w:rsidRPr="00E25B66">
        <w:t xml:space="preserve">.  </w:t>
      </w:r>
      <w:r w:rsidR="00766273" w:rsidRPr="00E25B66">
        <w:t>E</w:t>
      </w:r>
      <w:r w:rsidR="007857A7" w:rsidRPr="00E25B66">
        <w:t>mphasis is placed</w:t>
      </w:r>
      <w:r w:rsidR="00156476" w:rsidRPr="00E25B66">
        <w:t>,</w:t>
      </w:r>
      <w:r w:rsidR="007857A7" w:rsidRPr="00E25B66">
        <w:t xml:space="preserve"> </w:t>
      </w:r>
      <w:r w:rsidR="00766273" w:rsidRPr="00E25B66">
        <w:t>in particular</w:t>
      </w:r>
      <w:r w:rsidR="00156476" w:rsidRPr="00E25B66">
        <w:t>,</w:t>
      </w:r>
      <w:r w:rsidR="00766273" w:rsidRPr="00E25B66">
        <w:t xml:space="preserve"> </w:t>
      </w:r>
      <w:r w:rsidR="007857A7" w:rsidRPr="00E25B66">
        <w:t xml:space="preserve">on </w:t>
      </w:r>
      <w:r w:rsidR="00766273" w:rsidRPr="00E25B66">
        <w:t xml:space="preserve">their </w:t>
      </w:r>
      <w:r w:rsidR="007857A7" w:rsidRPr="00E25B66">
        <w:t xml:space="preserve">prevention and response </w:t>
      </w:r>
      <w:r w:rsidR="00766273" w:rsidRPr="00E25B66">
        <w:t xml:space="preserve">activities </w:t>
      </w:r>
      <w:r w:rsidR="00E96581" w:rsidRPr="00E25B66">
        <w:t xml:space="preserve">when faced with </w:t>
      </w:r>
      <w:r w:rsidR="00766273" w:rsidRPr="00E25B66">
        <w:t>possible R2P crimes</w:t>
      </w:r>
      <w:r w:rsidR="00E90A4D" w:rsidRPr="00E25B66">
        <w:t>.</w:t>
      </w:r>
    </w:p>
    <w:p w:rsidR="0016080A" w:rsidRPr="00E25B66" w:rsidRDefault="0016080A" w:rsidP="00766273">
      <w:pPr>
        <w:outlineLvl w:val="0"/>
      </w:pPr>
    </w:p>
    <w:p w:rsidR="000B42E1" w:rsidRPr="00E25B66" w:rsidRDefault="007857A7" w:rsidP="00766273">
      <w:pPr>
        <w:outlineLvl w:val="0"/>
      </w:pPr>
      <w:r w:rsidRPr="00E25B66">
        <w:t xml:space="preserve">It </w:t>
      </w:r>
      <w:r w:rsidR="0016080A" w:rsidRPr="00E25B66">
        <w:t xml:space="preserve">then briefly touches </w:t>
      </w:r>
      <w:r w:rsidRPr="00E25B66">
        <w:t xml:space="preserve">on key scope conditions of independence and authority </w:t>
      </w:r>
      <w:r w:rsidR="00C07425" w:rsidRPr="00E25B66">
        <w:t xml:space="preserve">that may be useful in thinking about how to institutionalize effective national focal points, </w:t>
      </w:r>
      <w:r w:rsidR="00E96581" w:rsidRPr="00E25B66">
        <w:t>p</w:t>
      </w:r>
      <w:r w:rsidRPr="00E25B66">
        <w:t>articular</w:t>
      </w:r>
      <w:r w:rsidR="00156476" w:rsidRPr="00E25B66">
        <w:t xml:space="preserve">ly in regards to </w:t>
      </w:r>
      <w:r w:rsidRPr="00E25B66">
        <w:t>their potential as hub</w:t>
      </w:r>
      <w:r w:rsidR="00156476" w:rsidRPr="00E25B66">
        <w:t>s</w:t>
      </w:r>
      <w:r w:rsidRPr="00E25B66">
        <w:t xml:space="preserve"> for intergovernmental coordination.</w:t>
      </w:r>
    </w:p>
    <w:p w:rsidR="000B42E1" w:rsidRPr="00E25B66" w:rsidRDefault="000B42E1" w:rsidP="00F81346"/>
    <w:p w:rsidR="007857A7" w:rsidRPr="00E25B66" w:rsidRDefault="0016080A" w:rsidP="00F81346">
      <w:r w:rsidRPr="00E25B66">
        <w:t>Finally, existing NHRI structures a</w:t>
      </w:r>
      <w:r w:rsidR="000B42E1" w:rsidRPr="00E25B66">
        <w:t>t the international level</w:t>
      </w:r>
      <w:r w:rsidRPr="00E25B66">
        <w:t xml:space="preserve"> may </w:t>
      </w:r>
      <w:r w:rsidR="000B42E1" w:rsidRPr="00E25B66">
        <w:t xml:space="preserve">offer </w:t>
      </w:r>
      <w:r w:rsidRPr="00E25B66">
        <w:t>a</w:t>
      </w:r>
      <w:r w:rsidR="000B42E1" w:rsidRPr="00E25B66">
        <w:t xml:space="preserve"> venue for facilitating collective mobilization on behalf of R2P’s international obligations</w:t>
      </w:r>
      <w:r w:rsidR="00C07425" w:rsidRPr="00E25B66">
        <w:t xml:space="preserve"> under Pillar 2</w:t>
      </w:r>
      <w:r w:rsidR="000B42E1" w:rsidRPr="00E25B66">
        <w:t>.</w:t>
      </w:r>
    </w:p>
    <w:p w:rsidR="007857A7" w:rsidRPr="00E25B66" w:rsidRDefault="007857A7" w:rsidP="00F81346"/>
    <w:p w:rsidR="000B42E1" w:rsidRPr="00E25B66" w:rsidRDefault="000971F5" w:rsidP="00F81346">
      <w:pPr>
        <w:rPr>
          <w:b/>
        </w:rPr>
      </w:pPr>
      <w:r w:rsidRPr="00E25B66">
        <w:rPr>
          <w:b/>
        </w:rPr>
        <w:t>NHRIs as nationa</w:t>
      </w:r>
      <w:r w:rsidR="002E517C" w:rsidRPr="00E25B66">
        <w:rPr>
          <w:b/>
        </w:rPr>
        <w:t>l focal point</w:t>
      </w:r>
      <w:r w:rsidR="00EE2719" w:rsidRPr="00E25B66">
        <w:rPr>
          <w:b/>
        </w:rPr>
        <w:t>s</w:t>
      </w:r>
      <w:r w:rsidR="002E517C" w:rsidRPr="00E25B66">
        <w:rPr>
          <w:b/>
        </w:rPr>
        <w:t xml:space="preserve"> under R2P</w:t>
      </w:r>
    </w:p>
    <w:p w:rsidR="00842D58" w:rsidRPr="00E25B66" w:rsidRDefault="00842D58" w:rsidP="00F81346">
      <w:pPr>
        <w:rPr>
          <w:b/>
        </w:rPr>
      </w:pPr>
    </w:p>
    <w:p w:rsidR="00804BF5" w:rsidRPr="00E25B66" w:rsidRDefault="002D36DD" w:rsidP="002D36DD">
      <w:pPr>
        <w:rPr>
          <w:szCs w:val="24"/>
        </w:rPr>
      </w:pPr>
      <w:r w:rsidRPr="00E25B66">
        <w:rPr>
          <w:szCs w:val="24"/>
        </w:rPr>
        <w:t xml:space="preserve">As investigative bodies with quasi-judicial powers, </w:t>
      </w:r>
      <w:r w:rsidR="005C73F3" w:rsidRPr="00E25B66">
        <w:rPr>
          <w:szCs w:val="24"/>
        </w:rPr>
        <w:t xml:space="preserve">NHRIs </w:t>
      </w:r>
      <w:r w:rsidRPr="00E25B66">
        <w:rPr>
          <w:szCs w:val="24"/>
        </w:rPr>
        <w:t>are well-placed to</w:t>
      </w:r>
      <w:r w:rsidR="005249AF" w:rsidRPr="00E25B66">
        <w:rPr>
          <w:rFonts w:cs="Arial"/>
          <w:szCs w:val="24"/>
        </w:rPr>
        <w:t xml:space="preserve"> </w:t>
      </w:r>
      <w:r w:rsidR="005249AF" w:rsidRPr="00E25B66">
        <w:rPr>
          <w:szCs w:val="24"/>
        </w:rPr>
        <w:t xml:space="preserve">ensure better understanding of local context, </w:t>
      </w:r>
      <w:r w:rsidR="00FC7D18" w:rsidRPr="00E25B66">
        <w:rPr>
          <w:szCs w:val="24"/>
        </w:rPr>
        <w:t xml:space="preserve">to provide </w:t>
      </w:r>
      <w:r w:rsidR="005249AF" w:rsidRPr="00E25B66">
        <w:rPr>
          <w:szCs w:val="24"/>
        </w:rPr>
        <w:t>warn</w:t>
      </w:r>
      <w:r w:rsidR="005C73F3" w:rsidRPr="00E25B66">
        <w:rPr>
          <w:szCs w:val="24"/>
        </w:rPr>
        <w:t>ing</w:t>
      </w:r>
      <w:r w:rsidR="005C22F3" w:rsidRPr="00E25B66">
        <w:rPr>
          <w:szCs w:val="24"/>
        </w:rPr>
        <w:t xml:space="preserve"> </w:t>
      </w:r>
      <w:r w:rsidR="005249AF" w:rsidRPr="00E25B66">
        <w:rPr>
          <w:szCs w:val="24"/>
        </w:rPr>
        <w:t>and respon</w:t>
      </w:r>
      <w:r w:rsidR="005C73F3" w:rsidRPr="00E25B66">
        <w:rPr>
          <w:szCs w:val="24"/>
        </w:rPr>
        <w:t>se</w:t>
      </w:r>
      <w:r w:rsidR="005249AF" w:rsidRPr="00E25B66">
        <w:rPr>
          <w:szCs w:val="24"/>
        </w:rPr>
        <w:t xml:space="preserve"> to situations of mass atrocity crimes</w:t>
      </w:r>
      <w:r w:rsidR="005C73F3" w:rsidRPr="00E25B66">
        <w:rPr>
          <w:szCs w:val="24"/>
        </w:rPr>
        <w:t>,</w:t>
      </w:r>
      <w:r w:rsidR="005249AF" w:rsidRPr="00E25B66">
        <w:rPr>
          <w:szCs w:val="24"/>
        </w:rPr>
        <w:t xml:space="preserve"> </w:t>
      </w:r>
      <w:r w:rsidR="00E96581" w:rsidRPr="00E25B66">
        <w:rPr>
          <w:szCs w:val="24"/>
        </w:rPr>
        <w:t xml:space="preserve">as well as </w:t>
      </w:r>
      <w:r w:rsidR="005249AF" w:rsidRPr="00E25B66">
        <w:rPr>
          <w:szCs w:val="24"/>
        </w:rPr>
        <w:t>facilitat</w:t>
      </w:r>
      <w:r w:rsidR="0008757C" w:rsidRPr="00E25B66">
        <w:rPr>
          <w:szCs w:val="24"/>
        </w:rPr>
        <w:t>ing</w:t>
      </w:r>
      <w:r w:rsidR="005249AF" w:rsidRPr="00E25B66">
        <w:rPr>
          <w:szCs w:val="24"/>
        </w:rPr>
        <w:t xml:space="preserve"> implementation of R2P obligations.</w:t>
      </w:r>
      <w:r w:rsidR="00804BF5" w:rsidRPr="00E25B66">
        <w:rPr>
          <w:szCs w:val="24"/>
        </w:rPr>
        <w:t xml:space="preserve">  </w:t>
      </w:r>
    </w:p>
    <w:p w:rsidR="00804BF5" w:rsidRPr="00E25B66" w:rsidRDefault="00804BF5" w:rsidP="002D36DD">
      <w:pPr>
        <w:rPr>
          <w:szCs w:val="24"/>
        </w:rPr>
      </w:pPr>
    </w:p>
    <w:p w:rsidR="005C22F3" w:rsidRPr="00E25B66" w:rsidRDefault="005C22F3" w:rsidP="005C22F3">
      <w:r w:rsidRPr="00E25B66">
        <w:t xml:space="preserve">A recent Secretary General’s report on R2P states “information itself is rarely the missing ingredient” regarding the impending occurrence of R2P crimes.  However, this is not always the case.  Indeed, often </w:t>
      </w:r>
      <w:r w:rsidR="005C73F3" w:rsidRPr="00E25B66">
        <w:t xml:space="preserve">the </w:t>
      </w:r>
      <w:r w:rsidR="0008757C" w:rsidRPr="00E25B66">
        <w:t xml:space="preserve">perpetrators </w:t>
      </w:r>
      <w:r w:rsidR="005C73F3" w:rsidRPr="00E25B66">
        <w:t xml:space="preserve">of such </w:t>
      </w:r>
      <w:r w:rsidR="00FC7D18" w:rsidRPr="00E25B66">
        <w:t xml:space="preserve">heinous </w:t>
      </w:r>
      <w:r w:rsidR="005C73F3" w:rsidRPr="00E25B66">
        <w:t xml:space="preserve">crimes have a strong interest </w:t>
      </w:r>
      <w:r w:rsidRPr="00E25B66">
        <w:t>in hiding the truth</w:t>
      </w:r>
      <w:r w:rsidR="005227AA" w:rsidRPr="00E25B66">
        <w:t xml:space="preserve"> and may engage in</w:t>
      </w:r>
      <w:r w:rsidRPr="00E25B66">
        <w:t xml:space="preserve"> impeding investigations</w:t>
      </w:r>
      <w:r w:rsidR="005227AA" w:rsidRPr="00E25B66">
        <w:t xml:space="preserve"> </w:t>
      </w:r>
      <w:r w:rsidRPr="00E25B66">
        <w:t xml:space="preserve">and </w:t>
      </w:r>
      <w:r w:rsidR="005227AA" w:rsidRPr="00E25B66">
        <w:t>manipulating relevant data</w:t>
      </w:r>
      <w:r w:rsidRPr="00E25B66">
        <w:t>.</w:t>
      </w:r>
    </w:p>
    <w:p w:rsidR="005C22F3" w:rsidRPr="00E25B66" w:rsidRDefault="005C22F3" w:rsidP="005C22F3"/>
    <w:p w:rsidR="003464F7" w:rsidRPr="00E25B66" w:rsidRDefault="005C22F3" w:rsidP="005C22F3">
      <w:r w:rsidRPr="00E25B66">
        <w:t xml:space="preserve">National focal points </w:t>
      </w:r>
      <w:r w:rsidR="009C556B" w:rsidRPr="00E25B66">
        <w:t xml:space="preserve">can </w:t>
      </w:r>
      <w:r w:rsidRPr="00E25B66">
        <w:t>provide the international community with a valuable new resource at the national level to address such information deficits that may arise – not only in terms of collecting raw data</w:t>
      </w:r>
      <w:r w:rsidR="005C73F3" w:rsidRPr="00E25B66">
        <w:t>,</w:t>
      </w:r>
      <w:r w:rsidRPr="00E25B66">
        <w:t xml:space="preserve"> but also </w:t>
      </w:r>
      <w:r w:rsidR="009C556B" w:rsidRPr="00E25B66">
        <w:t xml:space="preserve">in its </w:t>
      </w:r>
      <w:r w:rsidR="005C73F3" w:rsidRPr="00E25B66">
        <w:t>verification</w:t>
      </w:r>
      <w:r w:rsidR="003464F7" w:rsidRPr="00E25B66">
        <w:t xml:space="preserve">, </w:t>
      </w:r>
      <w:r w:rsidRPr="00E25B66">
        <w:t xml:space="preserve">analysis </w:t>
      </w:r>
      <w:r w:rsidR="003464F7" w:rsidRPr="00E25B66">
        <w:t xml:space="preserve">and </w:t>
      </w:r>
      <w:r w:rsidR="0087027A" w:rsidRPr="00E25B66">
        <w:t>translation in</w:t>
      </w:r>
      <w:r w:rsidR="003464F7" w:rsidRPr="00E25B66">
        <w:t>to actionable policy options</w:t>
      </w:r>
      <w:r w:rsidR="00762A92" w:rsidRPr="00E25B66">
        <w:t xml:space="preserve"> at the local </w:t>
      </w:r>
      <w:r w:rsidR="0008757C" w:rsidRPr="00E25B66">
        <w:t xml:space="preserve">and international </w:t>
      </w:r>
      <w:r w:rsidR="00762A92" w:rsidRPr="00E25B66">
        <w:t>level</w:t>
      </w:r>
    </w:p>
    <w:p w:rsidR="005C22F3" w:rsidRPr="00E25B66" w:rsidRDefault="005C22F3" w:rsidP="00804BF5"/>
    <w:p w:rsidR="00804BF5" w:rsidRPr="00E25B66" w:rsidRDefault="0012256C" w:rsidP="00804BF5">
      <w:r w:rsidRPr="00E25B66">
        <w:t>E</w:t>
      </w:r>
      <w:r w:rsidR="00804BF5" w:rsidRPr="00E25B66">
        <w:t xml:space="preserve">ffective NHRIs are </w:t>
      </w:r>
      <w:r w:rsidR="005C22F3" w:rsidRPr="00E25B66">
        <w:t xml:space="preserve">already </w:t>
      </w:r>
      <w:r w:rsidR="00804BF5" w:rsidRPr="00E25B66">
        <w:t xml:space="preserve">relied upon by </w:t>
      </w:r>
      <w:r w:rsidR="00762A92" w:rsidRPr="00E25B66">
        <w:t xml:space="preserve">stakeholders </w:t>
      </w:r>
      <w:r w:rsidR="00804BF5" w:rsidRPr="00E25B66">
        <w:t>as a source of systematic data on gross human rights violations</w:t>
      </w:r>
      <w:r w:rsidR="00E96581" w:rsidRPr="00E25B66">
        <w:t>, especially</w:t>
      </w:r>
      <w:r w:rsidR="00804BF5" w:rsidRPr="00E25B66">
        <w:t xml:space="preserve"> where official data is unforthcoming or lacks verifiable sources.</w:t>
      </w:r>
    </w:p>
    <w:p w:rsidR="000673AC" w:rsidRPr="00E25B66" w:rsidRDefault="000673AC" w:rsidP="00F81346"/>
    <w:p w:rsidR="007B271C" w:rsidRPr="00E25B66" w:rsidRDefault="0012256C" w:rsidP="00F81346">
      <w:r w:rsidRPr="00E25B66">
        <w:t>It is clear that g</w:t>
      </w:r>
      <w:r w:rsidR="00962907" w:rsidRPr="00E25B66">
        <w:t xml:space="preserve">iven the narrow but deep focus of </w:t>
      </w:r>
      <w:r w:rsidR="008161E9" w:rsidRPr="00E25B66">
        <w:t>R2P obligations</w:t>
      </w:r>
      <w:r w:rsidR="00962907" w:rsidRPr="00E25B66">
        <w:t>, the degree to which NHRI</w:t>
      </w:r>
      <w:r w:rsidRPr="00E25B66">
        <w:t>s</w:t>
      </w:r>
      <w:r w:rsidR="00962907" w:rsidRPr="00E25B66">
        <w:t xml:space="preserve"> </w:t>
      </w:r>
      <w:r w:rsidRPr="00E25B66">
        <w:t xml:space="preserve">are </w:t>
      </w:r>
      <w:r w:rsidR="00962907" w:rsidRPr="00E25B66">
        <w:t xml:space="preserve">engaged </w:t>
      </w:r>
      <w:r w:rsidRPr="00E25B66">
        <w:t>in</w:t>
      </w:r>
      <w:r w:rsidR="00762A92" w:rsidRPr="00E25B66">
        <w:t xml:space="preserve"> advancing an</w:t>
      </w:r>
      <w:r w:rsidRPr="00E25B66">
        <w:t xml:space="preserve"> </w:t>
      </w:r>
      <w:r w:rsidR="001908CC" w:rsidRPr="00E25B66">
        <w:t xml:space="preserve">ad hoc </w:t>
      </w:r>
      <w:r w:rsidR="00E96581" w:rsidRPr="00E25B66">
        <w:t xml:space="preserve">R2P </w:t>
      </w:r>
      <w:r w:rsidR="00BD2CF5" w:rsidRPr="00E25B66">
        <w:t xml:space="preserve">mandate </w:t>
      </w:r>
      <w:r w:rsidR="00962907" w:rsidRPr="00E25B66">
        <w:t xml:space="preserve">is highly context specific.  </w:t>
      </w:r>
      <w:r w:rsidR="007B271C" w:rsidRPr="00E25B66">
        <w:t>National institutions have</w:t>
      </w:r>
      <w:r w:rsidR="00B44F25" w:rsidRPr="00E25B66">
        <w:t xml:space="preserve"> – to varying degrees –</w:t>
      </w:r>
      <w:r w:rsidR="007B271C" w:rsidRPr="00E25B66">
        <w:t xml:space="preserve"> been engaged in </w:t>
      </w:r>
      <w:r w:rsidR="001908CC" w:rsidRPr="00E25B66">
        <w:t>notable</w:t>
      </w:r>
      <w:r w:rsidR="00D94511" w:rsidRPr="00E25B66">
        <w:t xml:space="preserve"> </w:t>
      </w:r>
      <w:r w:rsidR="00962907" w:rsidRPr="00E25B66">
        <w:t xml:space="preserve">R2P </w:t>
      </w:r>
      <w:r w:rsidR="00B415B8" w:rsidRPr="00E25B66">
        <w:t xml:space="preserve">crises </w:t>
      </w:r>
      <w:r w:rsidR="007B271C" w:rsidRPr="00E25B66">
        <w:t xml:space="preserve">in </w:t>
      </w:r>
      <w:r w:rsidR="00962907" w:rsidRPr="00E25B66">
        <w:t>Georgia, Kenya, Nigeria, and Sri Lanka</w:t>
      </w:r>
      <w:r w:rsidR="007B271C" w:rsidRPr="00E25B66">
        <w:t>.</w:t>
      </w:r>
    </w:p>
    <w:p w:rsidR="00B44F25" w:rsidRPr="00E25B66" w:rsidRDefault="00B44F25" w:rsidP="00F81346"/>
    <w:p w:rsidR="00B44F25" w:rsidRPr="00E25B66" w:rsidRDefault="00B44F25" w:rsidP="00F81346">
      <w:r w:rsidRPr="00E25B66">
        <w:t xml:space="preserve">Further detailed study on the impact of these individual NHRIs is necessary.  However, </w:t>
      </w:r>
      <w:r w:rsidR="00BD2CF5" w:rsidRPr="00E25B66">
        <w:t xml:space="preserve">anecdotal </w:t>
      </w:r>
      <w:r w:rsidRPr="00E25B66">
        <w:t xml:space="preserve">evidence </w:t>
      </w:r>
      <w:r w:rsidR="00EB09DE" w:rsidRPr="00E25B66">
        <w:t>suggests that NHRI personnel</w:t>
      </w:r>
      <w:r w:rsidRPr="00E25B66">
        <w:t xml:space="preserve"> </w:t>
      </w:r>
      <w:r w:rsidR="00EC3F70" w:rsidRPr="00E25B66">
        <w:t xml:space="preserve">– often isolated within state structures – </w:t>
      </w:r>
      <w:r w:rsidR="00EB09DE" w:rsidRPr="00E25B66">
        <w:t xml:space="preserve">face severe </w:t>
      </w:r>
      <w:r w:rsidR="00EC3F70" w:rsidRPr="00E25B66">
        <w:t xml:space="preserve">challenges </w:t>
      </w:r>
      <w:r w:rsidR="00EB09DE" w:rsidRPr="00E25B66">
        <w:t xml:space="preserve">in </w:t>
      </w:r>
      <w:r w:rsidR="00EC3F70" w:rsidRPr="00E25B66">
        <w:t xml:space="preserve">effectively </w:t>
      </w:r>
      <w:r w:rsidR="00EB09DE" w:rsidRPr="00E25B66">
        <w:t>respond</w:t>
      </w:r>
      <w:r w:rsidR="002C1D4A" w:rsidRPr="00E25B66">
        <w:t>ing</w:t>
      </w:r>
      <w:r w:rsidR="00EB09DE" w:rsidRPr="00E25B66">
        <w:t xml:space="preserve"> to mass atrocities once conflict </w:t>
      </w:r>
      <w:r w:rsidR="002C1D4A" w:rsidRPr="00E25B66">
        <w:t>has commenced</w:t>
      </w:r>
      <w:r w:rsidR="00EB09DE" w:rsidRPr="00E25B66">
        <w:t>.</w:t>
      </w:r>
    </w:p>
    <w:p w:rsidR="00B44F25" w:rsidRPr="00E25B66" w:rsidRDefault="00B44F25" w:rsidP="00F81346"/>
    <w:p w:rsidR="00B415B8" w:rsidRPr="00E25B66" w:rsidRDefault="002147CA" w:rsidP="00F81346">
      <w:r w:rsidRPr="00E25B66">
        <w:t xml:space="preserve">However, it is also </w:t>
      </w:r>
      <w:r w:rsidR="002C1D4A" w:rsidRPr="00E25B66">
        <w:t xml:space="preserve">useful </w:t>
      </w:r>
      <w:r w:rsidRPr="00E25B66">
        <w:t xml:space="preserve">to pose the counterfactual question: has NHRI </w:t>
      </w:r>
      <w:r w:rsidR="008B5B36" w:rsidRPr="00E25B66">
        <w:t>preventive action assisted in averting</w:t>
      </w:r>
      <w:r w:rsidRPr="00E25B66">
        <w:t xml:space="preserve"> full-scale R2P </w:t>
      </w:r>
      <w:r w:rsidR="008B5B36" w:rsidRPr="00E25B66">
        <w:t>crises</w:t>
      </w:r>
      <w:r w:rsidRPr="00E25B66">
        <w:t>?</w:t>
      </w:r>
      <w:r w:rsidR="002C1D4A" w:rsidRPr="00E25B66">
        <w:t xml:space="preserve"> Though difficult to gauge with any certainty, the experience of NHRIs in </w:t>
      </w:r>
      <w:r w:rsidR="00D94511" w:rsidRPr="00E25B66">
        <w:t xml:space="preserve">places such as Afghanistan, </w:t>
      </w:r>
      <w:r w:rsidR="002C1D4A" w:rsidRPr="00E25B66">
        <w:t>Colombia, India, and South Africa all provide insight</w:t>
      </w:r>
      <w:r w:rsidR="00BD2CF5" w:rsidRPr="00E25B66">
        <w:t>s</w:t>
      </w:r>
      <w:r w:rsidR="002C1D4A" w:rsidRPr="00E25B66">
        <w:t xml:space="preserve"> into this question</w:t>
      </w:r>
      <w:r w:rsidR="00D94511" w:rsidRPr="00E25B66">
        <w:t xml:space="preserve"> </w:t>
      </w:r>
      <w:r w:rsidR="00875F33" w:rsidRPr="00E25B66">
        <w:t xml:space="preserve">as well as </w:t>
      </w:r>
      <w:r w:rsidR="00D94511" w:rsidRPr="00E25B66">
        <w:t xml:space="preserve">the multiplicity of roles </w:t>
      </w:r>
      <w:r w:rsidR="00D554DA" w:rsidRPr="00E25B66">
        <w:t xml:space="preserve">that </w:t>
      </w:r>
      <w:r w:rsidR="00A1716D" w:rsidRPr="00E25B66">
        <w:t xml:space="preserve">national focal points </w:t>
      </w:r>
      <w:r w:rsidR="00762A92" w:rsidRPr="00E25B66">
        <w:t xml:space="preserve">can </w:t>
      </w:r>
      <w:r w:rsidR="00D94511" w:rsidRPr="00E25B66">
        <w:t xml:space="preserve">perform under </w:t>
      </w:r>
      <w:r w:rsidR="006C2409" w:rsidRPr="00E25B66">
        <w:t xml:space="preserve">Pillar 1 of </w:t>
      </w:r>
      <w:r w:rsidR="00D94511" w:rsidRPr="00E25B66">
        <w:t>R2P.</w:t>
      </w:r>
      <w:bookmarkStart w:id="0" w:name="_GoBack"/>
      <w:bookmarkEnd w:id="0"/>
    </w:p>
    <w:p w:rsidR="002E517C" w:rsidRPr="00E25B66" w:rsidRDefault="002E517C" w:rsidP="00F81346"/>
    <w:p w:rsidR="000B42E1" w:rsidRPr="00E25B66" w:rsidRDefault="00854A7B" w:rsidP="00F81346">
      <w:pPr>
        <w:rPr>
          <w:b/>
        </w:rPr>
      </w:pPr>
      <w:r w:rsidRPr="00E25B66">
        <w:rPr>
          <w:b/>
        </w:rPr>
        <w:t xml:space="preserve">Pillar 1: </w:t>
      </w:r>
      <w:r w:rsidR="006A4063" w:rsidRPr="00E25B66">
        <w:rPr>
          <w:b/>
        </w:rPr>
        <w:t>Protection responsibilities of the State</w:t>
      </w:r>
    </w:p>
    <w:p w:rsidR="005B5247" w:rsidRPr="00E25B66" w:rsidRDefault="005B5247" w:rsidP="00F81346"/>
    <w:p w:rsidR="005F5F66" w:rsidRPr="00E25B66" w:rsidRDefault="00D554DA" w:rsidP="00F81346">
      <w:r w:rsidRPr="00E25B66">
        <w:t>Now, w</w:t>
      </w:r>
      <w:r w:rsidR="00645D9D" w:rsidRPr="00E25B66">
        <w:t xml:space="preserve">ith regard to </w:t>
      </w:r>
      <w:r w:rsidR="005F5F66" w:rsidRPr="00E25B66">
        <w:t xml:space="preserve">Pillar 1 </w:t>
      </w:r>
      <w:r w:rsidR="00645D9D" w:rsidRPr="00E25B66">
        <w:t xml:space="preserve">activities, </w:t>
      </w:r>
      <w:r w:rsidR="005F5F66" w:rsidRPr="00E25B66">
        <w:t xml:space="preserve">NHRIs are tasked with the promotion of human rights through education </w:t>
      </w:r>
      <w:r w:rsidR="0090190B" w:rsidRPr="00E25B66">
        <w:t xml:space="preserve">and training </w:t>
      </w:r>
      <w:r w:rsidR="005F5F66" w:rsidRPr="00E25B66">
        <w:t xml:space="preserve">initiatives </w:t>
      </w:r>
      <w:r w:rsidR="0090190B" w:rsidRPr="00E25B66">
        <w:t>for state functionaries</w:t>
      </w:r>
      <w:r w:rsidR="00645D9D" w:rsidRPr="00E25B66">
        <w:t xml:space="preserve"> and social actors</w:t>
      </w:r>
      <w:r w:rsidR="0090190B" w:rsidRPr="00E25B66">
        <w:t xml:space="preserve">.  </w:t>
      </w:r>
      <w:r w:rsidR="005F5F66" w:rsidRPr="00E25B66">
        <w:t>In turn, NHRIs often have a mandate to advise on draft legislation, identify deficiencies in existing law</w:t>
      </w:r>
      <w:r w:rsidR="00E83639" w:rsidRPr="00E25B66">
        <w:t>,</w:t>
      </w:r>
      <w:r w:rsidR="005F5F66" w:rsidRPr="00E25B66">
        <w:t xml:space="preserve"> and </w:t>
      </w:r>
      <w:r w:rsidR="00EC3F70" w:rsidRPr="00E25B66">
        <w:t xml:space="preserve">even </w:t>
      </w:r>
      <w:r w:rsidR="005F5F66" w:rsidRPr="00E25B66">
        <w:t>draft legal projects</w:t>
      </w:r>
      <w:r w:rsidR="00B73738" w:rsidRPr="00E25B66">
        <w:t xml:space="preserve"> in accordance with international </w:t>
      </w:r>
      <w:r w:rsidR="00BD2CF5" w:rsidRPr="00E25B66">
        <w:t xml:space="preserve">human rights </w:t>
      </w:r>
      <w:r w:rsidR="00B73738" w:rsidRPr="00E25B66">
        <w:t>standards</w:t>
      </w:r>
      <w:r w:rsidR="005F5F66" w:rsidRPr="00E25B66">
        <w:t>.</w:t>
      </w:r>
    </w:p>
    <w:p w:rsidR="005F5F66" w:rsidRPr="00E25B66" w:rsidRDefault="005F5F66" w:rsidP="00F81346"/>
    <w:p w:rsidR="009E0C8C" w:rsidRPr="00E25B66" w:rsidRDefault="009E0C8C" w:rsidP="00F81346">
      <w:r w:rsidRPr="00E25B66">
        <w:t xml:space="preserve">Educational programs </w:t>
      </w:r>
      <w:r w:rsidR="00D554DA" w:rsidRPr="00E25B66">
        <w:t>can have highly significant consequences</w:t>
      </w:r>
      <w:r w:rsidRPr="00E25B66">
        <w:t xml:space="preserve">.  </w:t>
      </w:r>
      <w:r w:rsidR="00D554DA" w:rsidRPr="00E25B66">
        <w:t>For instance, s</w:t>
      </w:r>
      <w:r w:rsidRPr="00E25B66">
        <w:t xml:space="preserve">enior functionaries at the South African </w:t>
      </w:r>
      <w:r w:rsidR="00B73738" w:rsidRPr="00E25B66">
        <w:t xml:space="preserve">Human Rights </w:t>
      </w:r>
      <w:r w:rsidRPr="00E25B66">
        <w:t xml:space="preserve">Commission suggest that the </w:t>
      </w:r>
      <w:r w:rsidR="00645D9D" w:rsidRPr="00E25B66">
        <w:t xml:space="preserve">shocking </w:t>
      </w:r>
      <w:r w:rsidRPr="00E25B66">
        <w:t xml:space="preserve">xenophobic </w:t>
      </w:r>
      <w:r w:rsidR="00B73738" w:rsidRPr="00E25B66">
        <w:t xml:space="preserve">attacks </w:t>
      </w:r>
      <w:r w:rsidRPr="00E25B66">
        <w:t xml:space="preserve">of 2008 would have been far worse if local community leaders had not acted </w:t>
      </w:r>
      <w:r w:rsidR="00B73738" w:rsidRPr="00E25B66">
        <w:t xml:space="preserve">decisively </w:t>
      </w:r>
      <w:r w:rsidRPr="00E25B66">
        <w:t xml:space="preserve">to stop the violence.  They attribute </w:t>
      </w:r>
      <w:r w:rsidR="008E0A34" w:rsidRPr="00E25B66">
        <w:t>this self-constraint, at least in part, to community educational programs undertaken by the NHRI on xenophobi</w:t>
      </w:r>
      <w:r w:rsidR="00D672ED" w:rsidRPr="00E25B66">
        <w:t>a and human rights since 1999.</w:t>
      </w:r>
    </w:p>
    <w:p w:rsidR="009E0C8C" w:rsidRPr="00E25B66" w:rsidRDefault="009E0C8C" w:rsidP="00F81346"/>
    <w:p w:rsidR="00EC3F70" w:rsidRPr="00E25B66" w:rsidRDefault="00EC3F70" w:rsidP="00EC3F70">
      <w:r w:rsidRPr="00E25B66">
        <w:t xml:space="preserve">Of particular relevance to </w:t>
      </w:r>
      <w:r w:rsidR="00774F60" w:rsidRPr="00E25B66">
        <w:t>Pillar 1</w:t>
      </w:r>
      <w:r w:rsidRPr="00E25B66">
        <w:t xml:space="preserve"> activities is the development of Early Warning Systems by NHRIs designed to monitor and assess latent and active conflicts.  The most sophisticated system </w:t>
      </w:r>
      <w:r w:rsidR="00B73738" w:rsidRPr="00E25B66">
        <w:t xml:space="preserve">can be </w:t>
      </w:r>
      <w:r w:rsidRPr="00E25B66">
        <w:t xml:space="preserve">found in Colombia where the NHRI’s conflict risk reports are submitted directly to the Inter-Institutional Early Warning Committee </w:t>
      </w:r>
      <w:r w:rsidR="00DF1099" w:rsidRPr="00E25B66">
        <w:t>chaired by the Vice-President</w:t>
      </w:r>
      <w:r w:rsidR="00B911D1" w:rsidRPr="00E25B66">
        <w:t xml:space="preserve"> of the Republic</w:t>
      </w:r>
      <w:r w:rsidRPr="00E25B66">
        <w:t xml:space="preserve">.  Such systems offer a key resource in constructing </w:t>
      </w:r>
      <w:r w:rsidR="00DF1099" w:rsidRPr="00E25B66">
        <w:t xml:space="preserve">a </w:t>
      </w:r>
      <w:r w:rsidRPr="00E25B66">
        <w:t xml:space="preserve">national R2P plan </w:t>
      </w:r>
      <w:r w:rsidR="00E34F25" w:rsidRPr="00E25B66">
        <w:t xml:space="preserve">and </w:t>
      </w:r>
      <w:r w:rsidR="00087EAA" w:rsidRPr="00E25B66">
        <w:t xml:space="preserve">demonstrate how </w:t>
      </w:r>
      <w:r w:rsidR="00B911D1" w:rsidRPr="00E25B66">
        <w:t xml:space="preserve">national focal points can </w:t>
      </w:r>
      <w:r w:rsidR="00087EAA" w:rsidRPr="00E25B66">
        <w:t xml:space="preserve">input into </w:t>
      </w:r>
      <w:r w:rsidR="00DF1099" w:rsidRPr="00E25B66">
        <w:t xml:space="preserve">effective </w:t>
      </w:r>
      <w:r w:rsidR="00E34F25" w:rsidRPr="00E25B66">
        <w:t>crisis management regimes</w:t>
      </w:r>
      <w:r w:rsidRPr="00E25B66">
        <w:t>.</w:t>
      </w:r>
    </w:p>
    <w:p w:rsidR="00EC3F70" w:rsidRPr="00E25B66" w:rsidRDefault="00EC3F70" w:rsidP="00F81346"/>
    <w:p w:rsidR="00DF1099" w:rsidRPr="00E25B66" w:rsidRDefault="00E94E0E" w:rsidP="00F81346">
      <w:r w:rsidRPr="00E25B66">
        <w:t xml:space="preserve">Notwithstanding this potential, the frequent occurrence of violence despite accurate forewarning by the Colombian NHRI indicates the broader challenge of generating </w:t>
      </w:r>
      <w:r w:rsidR="00BD2CF5" w:rsidRPr="00E25B66">
        <w:t>institutional action</w:t>
      </w:r>
      <w:r w:rsidRPr="00E25B66">
        <w:t xml:space="preserve"> to prevent violations in conflict situations.</w:t>
      </w:r>
    </w:p>
    <w:p w:rsidR="00E34F25" w:rsidRPr="00E25B66" w:rsidRDefault="00E34F25" w:rsidP="00F81346"/>
    <w:p w:rsidR="007F2A12" w:rsidRPr="00E25B66" w:rsidRDefault="007F2A12" w:rsidP="007F2A12">
      <w:r w:rsidRPr="00E25B66">
        <w:t xml:space="preserve">One question that arises is what </w:t>
      </w:r>
      <w:r w:rsidR="00B73738" w:rsidRPr="00E25B66">
        <w:t xml:space="preserve">are </w:t>
      </w:r>
      <w:r w:rsidRPr="00E25B66">
        <w:t xml:space="preserve">the </w:t>
      </w:r>
      <w:r w:rsidR="00D554DA" w:rsidRPr="00E25B66">
        <w:t xml:space="preserve">optimal </w:t>
      </w:r>
      <w:r w:rsidR="00B73738" w:rsidRPr="00E25B66">
        <w:t xml:space="preserve">design features </w:t>
      </w:r>
      <w:r w:rsidRPr="00E25B66">
        <w:t>of national focal points?  NHRIs generally do not possess legal enforcement powers</w:t>
      </w:r>
      <w:r w:rsidR="00817B4A" w:rsidRPr="00E25B66">
        <w:t xml:space="preserve">.  Although, they </w:t>
      </w:r>
      <w:r w:rsidRPr="00E25B66">
        <w:t xml:space="preserve">do enjoy certain legal </w:t>
      </w:r>
      <w:r w:rsidRPr="00E25B66">
        <w:lastRenderedPageBreak/>
        <w:t>prerogatives</w:t>
      </w:r>
      <w:r w:rsidR="00817B4A" w:rsidRPr="00E25B66">
        <w:t xml:space="preserve"> before the courts</w:t>
      </w:r>
      <w:r w:rsidRPr="00E25B66">
        <w:t xml:space="preserve">. </w:t>
      </w:r>
      <w:r w:rsidR="00817B4A" w:rsidRPr="00E25B66">
        <w:t xml:space="preserve"> </w:t>
      </w:r>
      <w:r w:rsidRPr="00E25B66">
        <w:t xml:space="preserve">However, powers of access without prior authorisation and jurisdiction over </w:t>
      </w:r>
      <w:r w:rsidR="00B73738" w:rsidRPr="00E25B66">
        <w:t xml:space="preserve">detention </w:t>
      </w:r>
      <w:r w:rsidRPr="00E25B66">
        <w:t xml:space="preserve">facilities </w:t>
      </w:r>
      <w:r w:rsidR="00817B4A" w:rsidRPr="00E25B66">
        <w:t xml:space="preserve">are arguably </w:t>
      </w:r>
      <w:r w:rsidR="00B73738" w:rsidRPr="00E25B66">
        <w:t xml:space="preserve">essential </w:t>
      </w:r>
      <w:r w:rsidRPr="00E25B66">
        <w:t>to perform</w:t>
      </w:r>
      <w:r w:rsidR="00B73738" w:rsidRPr="00E25B66">
        <w:t>ing</w:t>
      </w:r>
      <w:r w:rsidRPr="00E25B66">
        <w:t xml:space="preserve"> an R2P function.</w:t>
      </w:r>
    </w:p>
    <w:p w:rsidR="00EC3F70" w:rsidRPr="00E25B66" w:rsidRDefault="00EC3F70" w:rsidP="00F81346"/>
    <w:p w:rsidR="0033380F" w:rsidRPr="00E25B66" w:rsidRDefault="0033380F" w:rsidP="00F81346">
      <w:r w:rsidRPr="00E25B66">
        <w:t>NHRI technical teams with forensic and medical expertise can be rapidly deployed to scenes of mass violations to conduct crime scene investigations, collect witness testimony, forensic analysis and ascertain the actions of the parties involved.</w:t>
      </w:r>
    </w:p>
    <w:p w:rsidR="00817B4A" w:rsidRPr="00E25B66" w:rsidRDefault="00817B4A" w:rsidP="00817B4A"/>
    <w:p w:rsidR="00817B4A" w:rsidRPr="00E25B66" w:rsidRDefault="00817B4A" w:rsidP="00817B4A">
      <w:r w:rsidRPr="00E25B66">
        <w:t xml:space="preserve">Often staffed by lawyers, NHRIs are also well placed to monitor situations, document evidence of crimes and apportion legal responsibility to state and non-state actors for human rights violations.  </w:t>
      </w:r>
    </w:p>
    <w:p w:rsidR="0033380F" w:rsidRPr="00E25B66" w:rsidRDefault="0033380F" w:rsidP="00F81346"/>
    <w:p w:rsidR="0033380F" w:rsidRPr="00E25B66" w:rsidRDefault="00817B4A" w:rsidP="00F81346">
      <w:r w:rsidRPr="00E25B66">
        <w:t xml:space="preserve">Indeed, </w:t>
      </w:r>
      <w:r w:rsidR="009B49E4" w:rsidRPr="00E25B66">
        <w:t xml:space="preserve">NHRIs have been </w:t>
      </w:r>
      <w:r w:rsidR="00B35D80" w:rsidRPr="00E25B66">
        <w:t xml:space="preserve">forceful proponents of state responsibility, often in the face of official resistance.  In the midst of ongoing violence in Gujarat in 2002, the Indian NHRI applied the legal principle of </w:t>
      </w:r>
      <w:r w:rsidR="00B35D80" w:rsidRPr="00E25B66">
        <w:rPr>
          <w:i/>
        </w:rPr>
        <w:t xml:space="preserve">res </w:t>
      </w:r>
      <w:proofErr w:type="spellStart"/>
      <w:r w:rsidR="00B35D80" w:rsidRPr="00E25B66">
        <w:rPr>
          <w:i/>
        </w:rPr>
        <w:t>ipsa</w:t>
      </w:r>
      <w:proofErr w:type="spellEnd"/>
      <w:r w:rsidR="00B35D80" w:rsidRPr="00E25B66">
        <w:rPr>
          <w:i/>
        </w:rPr>
        <w:t xml:space="preserve"> </w:t>
      </w:r>
      <w:proofErr w:type="spellStart"/>
      <w:r w:rsidR="00B35D80" w:rsidRPr="00E25B66">
        <w:rPr>
          <w:i/>
        </w:rPr>
        <w:t>loquitur</w:t>
      </w:r>
      <w:proofErr w:type="spellEnd"/>
      <w:r w:rsidR="00B35D80" w:rsidRPr="00E25B66">
        <w:t xml:space="preserve"> </w:t>
      </w:r>
      <w:r w:rsidR="001E0347" w:rsidRPr="00E25B66">
        <w:t>[</w:t>
      </w:r>
      <w:proofErr w:type="spellStart"/>
      <w:r w:rsidR="00B73738" w:rsidRPr="00E25B66">
        <w:t>rayz</w:t>
      </w:r>
      <w:proofErr w:type="spellEnd"/>
      <w:r w:rsidR="00B73738" w:rsidRPr="00E25B66">
        <w:t xml:space="preserve"> </w:t>
      </w:r>
      <w:proofErr w:type="spellStart"/>
      <w:r w:rsidR="00B73738" w:rsidRPr="00E25B66">
        <w:t>ip-sah</w:t>
      </w:r>
      <w:proofErr w:type="spellEnd"/>
      <w:r w:rsidR="00B73738" w:rsidRPr="00E25B66">
        <w:t xml:space="preserve"> </w:t>
      </w:r>
      <w:proofErr w:type="spellStart"/>
      <w:r w:rsidR="00B73738" w:rsidRPr="00E25B66">
        <w:t>loh</w:t>
      </w:r>
      <w:proofErr w:type="spellEnd"/>
      <w:r w:rsidR="00B73738" w:rsidRPr="00E25B66">
        <w:t>-quit-her</w:t>
      </w:r>
      <w:r w:rsidR="001E0347" w:rsidRPr="00E25B66">
        <w:t>]</w:t>
      </w:r>
      <w:r w:rsidR="00B73738" w:rsidRPr="00E25B66">
        <w:t xml:space="preserve"> (“the thing speaks for itself”) </w:t>
      </w:r>
      <w:r w:rsidR="00B35D80" w:rsidRPr="00E25B66">
        <w:t>to hold that there was a comprehensive failure of the State to protect the Constitutional rights of the people of Gujarat.</w:t>
      </w:r>
    </w:p>
    <w:p w:rsidR="00B35D80" w:rsidRPr="00E25B66" w:rsidRDefault="00B35D80" w:rsidP="00F81346"/>
    <w:p w:rsidR="00B35D80" w:rsidRPr="00E25B66" w:rsidRDefault="00B35D80" w:rsidP="00F81346">
      <w:r w:rsidRPr="00E25B66">
        <w:t>Similarly, in Afghanistan, the NHRI has repeatedly called upon all parties to the armed conflict to comply with their legal responsibilities to protect civilians in light of deaths caused by assassination and targeted killing policies.</w:t>
      </w:r>
    </w:p>
    <w:p w:rsidR="00F1312C" w:rsidRPr="00E25B66" w:rsidRDefault="00F1312C" w:rsidP="00F81346"/>
    <w:p w:rsidR="002E517C" w:rsidRPr="00E25B66" w:rsidRDefault="002E517C" w:rsidP="00F81346">
      <w:pPr>
        <w:rPr>
          <w:b/>
        </w:rPr>
      </w:pPr>
      <w:r w:rsidRPr="00E25B66">
        <w:rPr>
          <w:b/>
        </w:rPr>
        <w:t>Scope conditions of independence</w:t>
      </w:r>
      <w:r w:rsidR="00E571D3" w:rsidRPr="00E25B66">
        <w:rPr>
          <w:b/>
        </w:rPr>
        <w:t xml:space="preserve"> and authority</w:t>
      </w:r>
    </w:p>
    <w:p w:rsidR="000F5536" w:rsidRPr="00E25B66" w:rsidRDefault="000F5536" w:rsidP="00F81346">
      <w:pPr>
        <w:rPr>
          <w:b/>
        </w:rPr>
      </w:pPr>
    </w:p>
    <w:p w:rsidR="002E517C" w:rsidRPr="00E25B66" w:rsidRDefault="00783554" w:rsidP="00F81346">
      <w:r w:rsidRPr="00E25B66">
        <w:t xml:space="preserve">If you will allow me a very </w:t>
      </w:r>
      <w:r w:rsidR="003E3D6B" w:rsidRPr="00E25B66">
        <w:t>brief excursus on</w:t>
      </w:r>
      <w:r w:rsidRPr="00E25B66">
        <w:t xml:space="preserve"> the </w:t>
      </w:r>
      <w:r w:rsidR="00B911D1" w:rsidRPr="00E25B66">
        <w:t xml:space="preserve">independence and </w:t>
      </w:r>
      <w:r w:rsidRPr="00E25B66">
        <w:t xml:space="preserve">authority of </w:t>
      </w:r>
      <w:r w:rsidR="00B911D1" w:rsidRPr="00E25B66">
        <w:t>national institutions</w:t>
      </w:r>
      <w:r w:rsidRPr="00E25B66">
        <w:t xml:space="preserve">, it is </w:t>
      </w:r>
      <w:r w:rsidR="007F2A12" w:rsidRPr="00E25B66">
        <w:t xml:space="preserve">necessary </w:t>
      </w:r>
      <w:r w:rsidRPr="00E25B66">
        <w:t xml:space="preserve">to accurately assess the performance of </w:t>
      </w:r>
      <w:r w:rsidR="006A4063" w:rsidRPr="00E25B66">
        <w:t xml:space="preserve">individual </w:t>
      </w:r>
      <w:r w:rsidRPr="00E25B66">
        <w:t>NHRI</w:t>
      </w:r>
      <w:r w:rsidR="006A4063" w:rsidRPr="00E25B66">
        <w:t>s</w:t>
      </w:r>
      <w:r w:rsidR="00111A2C" w:rsidRPr="00E25B66">
        <w:t xml:space="preserve">. </w:t>
      </w:r>
      <w:r w:rsidRPr="00E25B66">
        <w:t xml:space="preserve"> While some </w:t>
      </w:r>
      <w:r w:rsidR="00111A2C" w:rsidRPr="00E25B66">
        <w:t xml:space="preserve">have proven </w:t>
      </w:r>
      <w:r w:rsidR="00817B4A" w:rsidRPr="00E25B66">
        <w:t xml:space="preserve">themselves </w:t>
      </w:r>
      <w:r w:rsidR="00111A2C" w:rsidRPr="00E25B66">
        <w:t xml:space="preserve">to be </w:t>
      </w:r>
      <w:r w:rsidRPr="00E25B66">
        <w:t xml:space="preserve">highly effective rights advocates, others have had more ambiguous effects – </w:t>
      </w:r>
      <w:r w:rsidR="00B911D1" w:rsidRPr="00E25B66">
        <w:t xml:space="preserve">sometimes even </w:t>
      </w:r>
      <w:r w:rsidR="000673AC" w:rsidRPr="00E25B66">
        <w:t>actively undermining domestic rights frameworks.</w:t>
      </w:r>
    </w:p>
    <w:p w:rsidR="000673AC" w:rsidRPr="00E25B66" w:rsidRDefault="000673AC" w:rsidP="00F81346"/>
    <w:p w:rsidR="00890AB7" w:rsidRPr="00E25B66" w:rsidRDefault="00890AB7" w:rsidP="00890AB7">
      <w:r w:rsidRPr="00E25B66">
        <w:t xml:space="preserve">The question that may arise for national focal points is: “what are the formal lines of accountability?”  If they are accountable to </w:t>
      </w:r>
      <w:r w:rsidR="00D554DA" w:rsidRPr="00E25B66">
        <w:t xml:space="preserve">the governing regime </w:t>
      </w:r>
      <w:r w:rsidRPr="00E25B66">
        <w:t>what are the implications for their independent action and credibility among non-government stakeholders?</w:t>
      </w:r>
    </w:p>
    <w:p w:rsidR="00890AB7" w:rsidRPr="00E25B66" w:rsidRDefault="00890AB7" w:rsidP="00F81346"/>
    <w:p w:rsidR="00B63EF4" w:rsidRPr="00E25B66" w:rsidRDefault="007821CD" w:rsidP="00B63EF4">
      <w:r w:rsidRPr="00E25B66">
        <w:t>Institutional safeguards of independence and authority are important</w:t>
      </w:r>
      <w:r w:rsidR="006A4063" w:rsidRPr="00E25B66">
        <w:t xml:space="preserve">, as reflected in current accreditation procedures by the International Coordinating Committee </w:t>
      </w:r>
      <w:r w:rsidR="00645D9D" w:rsidRPr="00E25B66">
        <w:t xml:space="preserve">of </w:t>
      </w:r>
      <w:r w:rsidR="006A4063" w:rsidRPr="00E25B66">
        <w:t>NHRIs</w:t>
      </w:r>
      <w:r w:rsidRPr="00E25B66">
        <w:t xml:space="preserve">.  However, it </w:t>
      </w:r>
      <w:r w:rsidR="00D554DA" w:rsidRPr="00E25B66">
        <w:t xml:space="preserve">may be </w:t>
      </w:r>
      <w:r w:rsidRPr="00E25B66">
        <w:t xml:space="preserve">effective leadership </w:t>
      </w:r>
      <w:r w:rsidR="00D554DA" w:rsidRPr="00E25B66">
        <w:t xml:space="preserve">is the </w:t>
      </w:r>
      <w:r w:rsidRPr="00E25B66">
        <w:t xml:space="preserve">decisive </w:t>
      </w:r>
      <w:r w:rsidR="00D554DA" w:rsidRPr="00E25B66">
        <w:t xml:space="preserve">factor </w:t>
      </w:r>
      <w:r w:rsidRPr="00E25B66">
        <w:t xml:space="preserve">in </w:t>
      </w:r>
      <w:r w:rsidR="00F17252" w:rsidRPr="00E25B66">
        <w:t xml:space="preserve">determining whether a national focal point can </w:t>
      </w:r>
      <w:r w:rsidR="006A4063" w:rsidRPr="00E25B66">
        <w:t xml:space="preserve">act as </w:t>
      </w:r>
      <w:r w:rsidR="00817B4A" w:rsidRPr="00E25B66">
        <w:t xml:space="preserve">a </w:t>
      </w:r>
      <w:r w:rsidR="006A4063" w:rsidRPr="00E25B66">
        <w:t>hub for intergovernmental coordination as well as state-society dialogue</w:t>
      </w:r>
      <w:r w:rsidR="00D12266" w:rsidRPr="00E25B66">
        <w:t>.</w:t>
      </w:r>
      <w:r w:rsidR="00F17252" w:rsidRPr="00E25B66">
        <w:t xml:space="preserve">  </w:t>
      </w:r>
    </w:p>
    <w:p w:rsidR="00D12266" w:rsidRPr="00E25B66" w:rsidRDefault="00D12266" w:rsidP="00F81346"/>
    <w:p w:rsidR="00D12266" w:rsidRPr="00E25B66" w:rsidRDefault="00D12266" w:rsidP="00F81346">
      <w:r w:rsidRPr="00E25B66">
        <w:t xml:space="preserve">Many NHRI leaders across </w:t>
      </w:r>
      <w:r w:rsidR="009E3EAB" w:rsidRPr="00E25B66">
        <w:t>cases</w:t>
      </w:r>
      <w:r w:rsidRPr="00E25B66">
        <w:t>, such as Ramiro de Leon Carpio in Guatemala</w:t>
      </w:r>
      <w:r w:rsidR="00890AB7" w:rsidRPr="00E25B66">
        <w:t xml:space="preserve"> and </w:t>
      </w:r>
      <w:r w:rsidRPr="00E25B66">
        <w:t xml:space="preserve">Maina Kai of Kenya </w:t>
      </w:r>
      <w:r w:rsidR="009E3EAB" w:rsidRPr="00E25B66">
        <w:t xml:space="preserve">have mobilized high public </w:t>
      </w:r>
      <w:r w:rsidR="007F2A12" w:rsidRPr="00E25B66">
        <w:t>credibility</w:t>
      </w:r>
      <w:r w:rsidR="009E3EAB" w:rsidRPr="00E25B66">
        <w:t xml:space="preserve"> in order to decisively intervene </w:t>
      </w:r>
      <w:r w:rsidR="00645D9D" w:rsidRPr="00E25B66">
        <w:t xml:space="preserve">and defuse </w:t>
      </w:r>
      <w:r w:rsidR="009E3EAB" w:rsidRPr="00E25B66">
        <w:t xml:space="preserve">escalating conflict scenarios, sometimes at </w:t>
      </w:r>
      <w:r w:rsidR="007F2A12" w:rsidRPr="00E25B66">
        <w:t xml:space="preserve">considerable </w:t>
      </w:r>
      <w:r w:rsidR="009E3EAB" w:rsidRPr="00E25B66">
        <w:t>personal risk.</w:t>
      </w:r>
    </w:p>
    <w:p w:rsidR="00783554" w:rsidRPr="00E25B66" w:rsidRDefault="00783554" w:rsidP="00F81346"/>
    <w:p w:rsidR="005249AF" w:rsidRPr="00E25B66" w:rsidRDefault="009E3EAB" w:rsidP="00F81346">
      <w:r w:rsidRPr="00E25B66">
        <w:t>Without expanding further on this point</w:t>
      </w:r>
      <w:r w:rsidR="007F2A12" w:rsidRPr="00E25B66">
        <w:t xml:space="preserve"> here</w:t>
      </w:r>
      <w:r w:rsidRPr="00E25B66">
        <w:t xml:space="preserve">, </w:t>
      </w:r>
      <w:r w:rsidR="00B63EF4" w:rsidRPr="00E25B66">
        <w:t>t</w:t>
      </w:r>
      <w:r w:rsidR="00645D9D" w:rsidRPr="00E25B66">
        <w:t xml:space="preserve">he question of how to institutionalise “good leadership” </w:t>
      </w:r>
      <w:r w:rsidR="007F2A12" w:rsidRPr="00E25B66">
        <w:t xml:space="preserve">in national focal points </w:t>
      </w:r>
      <w:r w:rsidR="00817B4A" w:rsidRPr="00E25B66">
        <w:t xml:space="preserve">– </w:t>
      </w:r>
      <w:r w:rsidR="00B63EF4" w:rsidRPr="00E25B66">
        <w:t xml:space="preserve">either through formal or political </w:t>
      </w:r>
      <w:r w:rsidR="00817B4A" w:rsidRPr="00E25B66">
        <w:t xml:space="preserve">mechanisms – </w:t>
      </w:r>
      <w:r w:rsidR="00645D9D" w:rsidRPr="00E25B66">
        <w:t xml:space="preserve">merits </w:t>
      </w:r>
      <w:r w:rsidR="00817B4A" w:rsidRPr="00E25B66">
        <w:t xml:space="preserve">careful </w:t>
      </w:r>
      <w:r w:rsidR="00645D9D" w:rsidRPr="00E25B66">
        <w:t>consideration.</w:t>
      </w:r>
    </w:p>
    <w:p w:rsidR="005249AF" w:rsidRPr="00E25B66" w:rsidRDefault="005249AF" w:rsidP="00F81346"/>
    <w:p w:rsidR="002E517C" w:rsidRPr="00E25B66" w:rsidRDefault="00463DA5" w:rsidP="00F81346">
      <w:r w:rsidRPr="00E25B66">
        <w:lastRenderedPageBreak/>
        <w:t xml:space="preserve">Of course, in some situations, coordination may simply not be possible.  </w:t>
      </w:r>
      <w:r w:rsidR="006A4063" w:rsidRPr="00E25B66">
        <w:t xml:space="preserve">Under </w:t>
      </w:r>
      <w:r w:rsidR="007F2A12" w:rsidRPr="00E25B66">
        <w:t xml:space="preserve">conflict </w:t>
      </w:r>
      <w:r w:rsidR="006A4063" w:rsidRPr="00E25B66">
        <w:t xml:space="preserve">conditions, the ability of national focal points to draw upon domestic and international sources of support </w:t>
      </w:r>
      <w:r w:rsidR="007F2A12" w:rsidRPr="00E25B66">
        <w:t>may be crucial</w:t>
      </w:r>
      <w:r w:rsidRPr="00E25B66">
        <w:t xml:space="preserve"> in this regard</w:t>
      </w:r>
      <w:r w:rsidR="007F2A12" w:rsidRPr="00E25B66">
        <w:t>.</w:t>
      </w:r>
    </w:p>
    <w:p w:rsidR="00090D89" w:rsidRPr="00E25B66" w:rsidRDefault="00090D89" w:rsidP="00090D89">
      <w:pPr>
        <w:jc w:val="both"/>
      </w:pPr>
    </w:p>
    <w:p w:rsidR="006A4063" w:rsidRPr="00E25B66" w:rsidRDefault="006A4063" w:rsidP="00090D89">
      <w:pPr>
        <w:jc w:val="both"/>
        <w:rPr>
          <w:b/>
        </w:rPr>
      </w:pPr>
      <w:r w:rsidRPr="00E25B66">
        <w:rPr>
          <w:b/>
        </w:rPr>
        <w:t>Pillar 2: International assistance and capacity building</w:t>
      </w:r>
    </w:p>
    <w:p w:rsidR="00090D89" w:rsidRPr="00E25B66" w:rsidRDefault="00090D89" w:rsidP="00F81346"/>
    <w:p w:rsidR="00E13D7C" w:rsidRPr="00E25B66" w:rsidRDefault="00D554DA" w:rsidP="00F81346">
      <w:r w:rsidRPr="00E25B66">
        <w:t>So, finally, m</w:t>
      </w:r>
      <w:r w:rsidR="006D7FDC" w:rsidRPr="00E25B66">
        <w:t>oving on to Pillar 2, NHRI activities</w:t>
      </w:r>
      <w:r w:rsidR="00E13D7C" w:rsidRPr="00E25B66">
        <w:t xml:space="preserve"> at the international and regional level may also offer lessons for a future national focal point network.  </w:t>
      </w:r>
    </w:p>
    <w:p w:rsidR="00E13D7C" w:rsidRPr="00E25B66" w:rsidRDefault="00E13D7C" w:rsidP="00F81346"/>
    <w:p w:rsidR="00E13D7C" w:rsidRPr="00E25B66" w:rsidRDefault="00E13D7C" w:rsidP="00F81346">
      <w:r w:rsidRPr="00E25B66">
        <w:t>Independently accredited by the UN-Affil</w:t>
      </w:r>
      <w:r w:rsidR="006D7FDC" w:rsidRPr="00E25B66">
        <w:t>iated International Coordinating</w:t>
      </w:r>
      <w:r w:rsidRPr="00E25B66">
        <w:t xml:space="preserve"> Committee of NHRIs, NHRIs granted “A status” </w:t>
      </w:r>
      <w:r w:rsidR="003801CA" w:rsidRPr="00E25B66">
        <w:t xml:space="preserve">accreditation </w:t>
      </w:r>
      <w:r w:rsidRPr="00E25B66">
        <w:t xml:space="preserve">have formal standing before the Human Rights Council </w:t>
      </w:r>
      <w:r w:rsidR="007F2A12" w:rsidRPr="00E25B66">
        <w:t xml:space="preserve">in Geneva </w:t>
      </w:r>
      <w:r w:rsidRPr="00E25B66">
        <w:t>and are able to make submissions under the Univ</w:t>
      </w:r>
      <w:r w:rsidR="00AA0991" w:rsidRPr="00E25B66">
        <w:t>ersal Periodic Review procedure.</w:t>
      </w:r>
    </w:p>
    <w:p w:rsidR="00E13D7C" w:rsidRPr="00E25B66" w:rsidRDefault="00E13D7C" w:rsidP="00F81346"/>
    <w:p w:rsidR="00AA0991" w:rsidRPr="00E25B66" w:rsidRDefault="009D1777" w:rsidP="005249AF">
      <w:r w:rsidRPr="00E25B66">
        <w:t xml:space="preserve">One of the </w:t>
      </w:r>
      <w:r w:rsidR="003801CA" w:rsidRPr="00E25B66">
        <w:t>21</w:t>
      </w:r>
      <w:r w:rsidR="003801CA" w:rsidRPr="00E25B66">
        <w:rPr>
          <w:vertAlign w:val="superscript"/>
        </w:rPr>
        <w:t>st</w:t>
      </w:r>
      <w:r w:rsidR="003801CA" w:rsidRPr="00E25B66">
        <w:t xml:space="preserve"> C</w:t>
      </w:r>
      <w:r w:rsidRPr="00E25B66">
        <w:t>entury’s first human rights treaties – the Optional Protocol to the Convention</w:t>
      </w:r>
      <w:r w:rsidR="007F2A12" w:rsidRPr="00E25B66">
        <w:t xml:space="preserve"> </w:t>
      </w:r>
      <w:proofErr w:type="gramStart"/>
      <w:r w:rsidR="007F2A12" w:rsidRPr="00E25B66">
        <w:t>Against</w:t>
      </w:r>
      <w:proofErr w:type="gramEnd"/>
      <w:r w:rsidR="007F2A12" w:rsidRPr="00E25B66">
        <w:t xml:space="preserve"> Torture </w:t>
      </w:r>
      <w:r w:rsidRPr="00E25B66">
        <w:t>–</w:t>
      </w:r>
      <w:r w:rsidR="003801CA" w:rsidRPr="00E25B66">
        <w:t xml:space="preserve"> </w:t>
      </w:r>
      <w:r w:rsidRPr="00E25B66">
        <w:t>create</w:t>
      </w:r>
      <w:r w:rsidR="003801CA" w:rsidRPr="00E25B66">
        <w:t>s</w:t>
      </w:r>
      <w:r w:rsidRPr="00E25B66">
        <w:t xml:space="preserve"> an unprecedented role for NHRIs in monitoring and implementing multilateral treaty obligations</w:t>
      </w:r>
      <w:r w:rsidR="00AA0991" w:rsidRPr="00E25B66">
        <w:t>.</w:t>
      </w:r>
    </w:p>
    <w:p w:rsidR="00AA0991" w:rsidRPr="00E25B66" w:rsidRDefault="00AA0991" w:rsidP="005249AF"/>
    <w:p w:rsidR="00D554DA" w:rsidRPr="00E25B66" w:rsidRDefault="009D1777" w:rsidP="005249AF">
      <w:r w:rsidRPr="00E25B66">
        <w:t xml:space="preserve">Many </w:t>
      </w:r>
      <w:r w:rsidR="001800BB" w:rsidRPr="00E25B66">
        <w:t>States have</w:t>
      </w:r>
      <w:r w:rsidR="00645D9D" w:rsidRPr="00E25B66">
        <w:t>,</w:t>
      </w:r>
      <w:r w:rsidR="001800BB" w:rsidRPr="00E25B66">
        <w:t xml:space="preserve"> </w:t>
      </w:r>
      <w:r w:rsidRPr="00E25B66">
        <w:t>subsequently</w:t>
      </w:r>
      <w:r w:rsidR="00645D9D" w:rsidRPr="00E25B66">
        <w:t>,</w:t>
      </w:r>
      <w:r w:rsidRPr="00E25B66">
        <w:t xml:space="preserve"> </w:t>
      </w:r>
      <w:r w:rsidR="001800BB" w:rsidRPr="00E25B66">
        <w:t>endorsed the activity of NHRIs in torture prevention by officially designating them as National Preventive Mechanism</w:t>
      </w:r>
      <w:r w:rsidR="007F2A12" w:rsidRPr="00E25B66">
        <w:t>s</w:t>
      </w:r>
      <w:r w:rsidR="001800BB" w:rsidRPr="00E25B66">
        <w:t xml:space="preserve"> under OPCAT</w:t>
      </w:r>
      <w:r w:rsidRPr="00E25B66">
        <w:t>.</w:t>
      </w:r>
      <w:r w:rsidR="00AA0991" w:rsidRPr="00E25B66">
        <w:t xml:space="preserve">  </w:t>
      </w:r>
    </w:p>
    <w:p w:rsidR="00D554DA" w:rsidRPr="00E25B66" w:rsidRDefault="00D554DA" w:rsidP="005249AF"/>
    <w:p w:rsidR="001800BB" w:rsidRPr="00E25B66" w:rsidRDefault="00645D9D" w:rsidP="005249AF">
      <w:r w:rsidRPr="00E25B66">
        <w:t xml:space="preserve">In turn, </w:t>
      </w:r>
      <w:r w:rsidR="00AA0991" w:rsidRPr="00E25B66">
        <w:t>NHRIs are increasingly relied upon by Treaty Bodies as independent sou</w:t>
      </w:r>
      <w:r w:rsidR="006D7FDC" w:rsidRPr="00E25B66">
        <w:t xml:space="preserve">rces of information with </w:t>
      </w:r>
      <w:r w:rsidR="00AA0991" w:rsidRPr="00E25B66">
        <w:t xml:space="preserve">NHRIs expressly </w:t>
      </w:r>
      <w:r w:rsidR="003801CA" w:rsidRPr="00E25B66">
        <w:t xml:space="preserve">encouraged </w:t>
      </w:r>
      <w:r w:rsidR="00AA0991" w:rsidRPr="00E25B66">
        <w:t>to submit their assessment</w:t>
      </w:r>
      <w:r w:rsidR="007F2A12" w:rsidRPr="00E25B66">
        <w:t>s</w:t>
      </w:r>
      <w:r w:rsidR="00AA0991" w:rsidRPr="00E25B66">
        <w:t xml:space="preserve"> independent of government</w:t>
      </w:r>
      <w:r w:rsidR="003801CA" w:rsidRPr="00E25B66">
        <w:t>,</w:t>
      </w:r>
      <w:r w:rsidR="00AA0991" w:rsidRPr="00E25B66">
        <w:t xml:space="preserve"> often in the form of “shadow reports.”</w:t>
      </w:r>
    </w:p>
    <w:p w:rsidR="001800BB" w:rsidRPr="00E25B66" w:rsidRDefault="001800BB" w:rsidP="005249AF"/>
    <w:p w:rsidR="00A02F50" w:rsidRPr="00E25B66" w:rsidRDefault="00A02F50" w:rsidP="00A02F50">
      <w:r w:rsidRPr="00E25B66">
        <w:t xml:space="preserve">These developments of recent years provide insights for how an eventual R2P national focal point network might plug into international structures or build upon existing NHRI networks. </w:t>
      </w:r>
    </w:p>
    <w:p w:rsidR="00A02F50" w:rsidRPr="00E25B66" w:rsidRDefault="00A02F50" w:rsidP="00A02F50"/>
    <w:p w:rsidR="00A02F50" w:rsidRPr="00E25B66" w:rsidRDefault="00A02F50" w:rsidP="00A02F50">
      <w:r w:rsidRPr="00E25B66">
        <w:t xml:space="preserve">In terms of R2P and national focal points, </w:t>
      </w:r>
      <w:r w:rsidR="003801CA" w:rsidRPr="00E25B66">
        <w:t xml:space="preserve">such </w:t>
      </w:r>
      <w:r w:rsidRPr="00E25B66">
        <w:t xml:space="preserve">networks could be engaged with in order to provide the international community with </w:t>
      </w:r>
      <w:r w:rsidR="003801CA" w:rsidRPr="00E25B66">
        <w:t xml:space="preserve">urgent </w:t>
      </w:r>
      <w:r w:rsidRPr="00E25B66">
        <w:t xml:space="preserve">information from </w:t>
      </w:r>
      <w:r w:rsidR="003801CA" w:rsidRPr="00E25B66">
        <w:t xml:space="preserve">an </w:t>
      </w:r>
      <w:r w:rsidRPr="00E25B66">
        <w:t xml:space="preserve">impressive – but currently scattered and uncoordinated – </w:t>
      </w:r>
      <w:r w:rsidR="003801CA" w:rsidRPr="00E25B66">
        <w:t xml:space="preserve">array of </w:t>
      </w:r>
      <w:r w:rsidRPr="00E25B66">
        <w:t>national early warning efforts by NHRIs</w:t>
      </w:r>
    </w:p>
    <w:p w:rsidR="00A02F50" w:rsidRPr="00E25B66" w:rsidRDefault="00A02F50" w:rsidP="00A02F50"/>
    <w:p w:rsidR="005249AF" w:rsidRPr="00E25B66" w:rsidRDefault="00AA0991" w:rsidP="005249AF">
      <w:r w:rsidRPr="00E25B66">
        <w:t>NHRIs also have formal legal standing before the African and Inter-American Human Rights Commissions</w:t>
      </w:r>
      <w:r w:rsidR="00645D9D" w:rsidRPr="00E25B66">
        <w:t>.</w:t>
      </w:r>
      <w:r w:rsidR="00A02F50" w:rsidRPr="00E25B66">
        <w:t xml:space="preserve">  Information could be relayed in a similar fashion through </w:t>
      </w:r>
      <w:r w:rsidR="003801CA" w:rsidRPr="00E25B66">
        <w:t xml:space="preserve">such </w:t>
      </w:r>
      <w:r w:rsidR="00A02F50" w:rsidRPr="00E25B66">
        <w:t xml:space="preserve">regional networks </w:t>
      </w:r>
    </w:p>
    <w:p w:rsidR="00412822" w:rsidRPr="00E25B66" w:rsidRDefault="00412822" w:rsidP="00F81346"/>
    <w:p w:rsidR="00A02F50" w:rsidRPr="00E25B66" w:rsidRDefault="00A02F50" w:rsidP="00A02F50">
      <w:r w:rsidRPr="00E25B66">
        <w:t xml:space="preserve">In the final analysis, national focal points </w:t>
      </w:r>
      <w:r w:rsidR="00D554DA" w:rsidRPr="00E25B66">
        <w:t xml:space="preserve">– in the best scenario – </w:t>
      </w:r>
      <w:r w:rsidR="003801CA" w:rsidRPr="00E25B66">
        <w:t xml:space="preserve">can </w:t>
      </w:r>
      <w:r w:rsidRPr="00E25B66">
        <w:t>provide the UN system with a neutral institutional space at the national level through which to direct assistance to states under st</w:t>
      </w:r>
      <w:r w:rsidR="006D7FDC" w:rsidRPr="00E25B66">
        <w:t>ress (and with their consent).</w:t>
      </w:r>
    </w:p>
    <w:p w:rsidR="00A02F50" w:rsidRPr="00E25B66" w:rsidRDefault="00A02F50" w:rsidP="00A02F50"/>
    <w:p w:rsidR="00A02F50" w:rsidRDefault="00A02F50">
      <w:r w:rsidRPr="00E25B66">
        <w:t xml:space="preserve">Such a resource </w:t>
      </w:r>
      <w:r w:rsidR="003801CA" w:rsidRPr="00E25B66">
        <w:t xml:space="preserve">is a </w:t>
      </w:r>
      <w:r w:rsidRPr="00E25B66">
        <w:t xml:space="preserve">potentially crucial component of any </w:t>
      </w:r>
      <w:r w:rsidR="003801CA" w:rsidRPr="00E25B66">
        <w:t xml:space="preserve">R2P </w:t>
      </w:r>
      <w:r w:rsidRPr="00E25B66">
        <w:t xml:space="preserve">response regime under Pillar 2 – serving as a </w:t>
      </w:r>
      <w:r w:rsidR="00D554DA" w:rsidRPr="00E25B66">
        <w:t xml:space="preserve">mechanism </w:t>
      </w:r>
      <w:r w:rsidR="006D7FDC" w:rsidRPr="00E25B66">
        <w:t>to pre-empt</w:t>
      </w:r>
      <w:r w:rsidR="003801CA" w:rsidRPr="00E25B66">
        <w:t xml:space="preserve"> </w:t>
      </w:r>
      <w:r w:rsidRPr="00E25B66">
        <w:t xml:space="preserve">R2P crises before they </w:t>
      </w:r>
      <w:r w:rsidR="006D7FDC" w:rsidRPr="00E25B66">
        <w:t>occur and avoid</w:t>
      </w:r>
      <w:r w:rsidRPr="00E25B66">
        <w:t xml:space="preserve"> the need for the international community to consider more radical </w:t>
      </w:r>
      <w:r w:rsidR="003801CA" w:rsidRPr="00E25B66">
        <w:t>solutions</w:t>
      </w:r>
      <w:r w:rsidRPr="00E25B66">
        <w:t>.</w:t>
      </w:r>
    </w:p>
    <w:p w:rsidR="00D554DA" w:rsidRDefault="00D554DA"/>
    <w:sectPr w:rsidR="00D554DA" w:rsidSect="001E48D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177" w:rsidRDefault="00D23177" w:rsidP="00305F21">
      <w:r>
        <w:separator/>
      </w:r>
    </w:p>
  </w:endnote>
  <w:endnote w:type="continuationSeparator" w:id="0">
    <w:p w:rsidR="00D23177" w:rsidRDefault="00D23177" w:rsidP="00305F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28234"/>
      <w:docPartObj>
        <w:docPartGallery w:val="Page Numbers (Bottom of Page)"/>
        <w:docPartUnique/>
      </w:docPartObj>
    </w:sdtPr>
    <w:sdtContent>
      <w:p w:rsidR="005227AA" w:rsidRDefault="00172473">
        <w:pPr>
          <w:pStyle w:val="Footer"/>
          <w:jc w:val="center"/>
        </w:pPr>
        <w:fldSimple w:instr=" PAGE   \* MERGEFORMAT ">
          <w:r w:rsidR="00E25B66">
            <w:rPr>
              <w:noProof/>
            </w:rPr>
            <w:t>4</w:t>
          </w:r>
        </w:fldSimple>
      </w:p>
    </w:sdtContent>
  </w:sdt>
  <w:p w:rsidR="005227AA" w:rsidRDefault="005227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177" w:rsidRDefault="00D23177" w:rsidP="00305F21">
      <w:r>
        <w:separator/>
      </w:r>
    </w:p>
  </w:footnote>
  <w:footnote w:type="continuationSeparator" w:id="0">
    <w:p w:rsidR="00D23177" w:rsidRDefault="00D23177" w:rsidP="00305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A4BFE"/>
    <w:multiLevelType w:val="hybridMultilevel"/>
    <w:tmpl w:val="3FD4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2A4185"/>
    <w:multiLevelType w:val="hybridMultilevel"/>
    <w:tmpl w:val="7F8EC9F0"/>
    <w:lvl w:ilvl="0" w:tplc="04090001">
      <w:start w:val="1"/>
      <w:numFmt w:val="bullet"/>
      <w:lvlText w:val=""/>
      <w:lvlJc w:val="left"/>
      <w:pPr>
        <w:ind w:left="720" w:hanging="360"/>
      </w:pPr>
      <w:rPr>
        <w:rFonts w:ascii="Symbol" w:hAnsi="Symbol" w:hint="default"/>
      </w:rPr>
    </w:lvl>
    <w:lvl w:ilvl="1" w:tplc="AFAC0F1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CC07C9"/>
    <w:multiLevelType w:val="hybridMultilevel"/>
    <w:tmpl w:val="BD82A9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A4DB9"/>
    <w:rsid w:val="00037DDE"/>
    <w:rsid w:val="000543FA"/>
    <w:rsid w:val="0005767A"/>
    <w:rsid w:val="000636F5"/>
    <w:rsid w:val="00064E84"/>
    <w:rsid w:val="000673AC"/>
    <w:rsid w:val="0008757C"/>
    <w:rsid w:val="00087EAA"/>
    <w:rsid w:val="00090D89"/>
    <w:rsid w:val="000971F5"/>
    <w:rsid w:val="00097797"/>
    <w:rsid w:val="000A1662"/>
    <w:rsid w:val="000B1D81"/>
    <w:rsid w:val="000B42CF"/>
    <w:rsid w:val="000B42E1"/>
    <w:rsid w:val="000F5536"/>
    <w:rsid w:val="000F6AA4"/>
    <w:rsid w:val="00111A2C"/>
    <w:rsid w:val="0012256C"/>
    <w:rsid w:val="0013742F"/>
    <w:rsid w:val="001446C1"/>
    <w:rsid w:val="00156476"/>
    <w:rsid w:val="00157BC5"/>
    <w:rsid w:val="0016080A"/>
    <w:rsid w:val="00160A70"/>
    <w:rsid w:val="00172473"/>
    <w:rsid w:val="00174F3D"/>
    <w:rsid w:val="001800BB"/>
    <w:rsid w:val="0018242D"/>
    <w:rsid w:val="001908CC"/>
    <w:rsid w:val="001A664C"/>
    <w:rsid w:val="001B07C9"/>
    <w:rsid w:val="001B6CB5"/>
    <w:rsid w:val="001D1421"/>
    <w:rsid w:val="001D1ED0"/>
    <w:rsid w:val="001D4433"/>
    <w:rsid w:val="001E0347"/>
    <w:rsid w:val="001E0E7B"/>
    <w:rsid w:val="001E48D3"/>
    <w:rsid w:val="001F26FA"/>
    <w:rsid w:val="002056C5"/>
    <w:rsid w:val="00207736"/>
    <w:rsid w:val="002147CA"/>
    <w:rsid w:val="00271719"/>
    <w:rsid w:val="00273A46"/>
    <w:rsid w:val="00277097"/>
    <w:rsid w:val="002918E5"/>
    <w:rsid w:val="002C1D4A"/>
    <w:rsid w:val="002C29C3"/>
    <w:rsid w:val="002D36DD"/>
    <w:rsid w:val="002D3D64"/>
    <w:rsid w:val="002E2622"/>
    <w:rsid w:val="002E517C"/>
    <w:rsid w:val="002F26B2"/>
    <w:rsid w:val="00300602"/>
    <w:rsid w:val="00300D7B"/>
    <w:rsid w:val="00305F21"/>
    <w:rsid w:val="00316E6A"/>
    <w:rsid w:val="0033225D"/>
    <w:rsid w:val="0033380F"/>
    <w:rsid w:val="003464F7"/>
    <w:rsid w:val="003744B0"/>
    <w:rsid w:val="003801CA"/>
    <w:rsid w:val="003A5CC7"/>
    <w:rsid w:val="003B60BD"/>
    <w:rsid w:val="003D6E56"/>
    <w:rsid w:val="003E3D6B"/>
    <w:rsid w:val="003E3D97"/>
    <w:rsid w:val="00412822"/>
    <w:rsid w:val="00415C94"/>
    <w:rsid w:val="00432E01"/>
    <w:rsid w:val="00440854"/>
    <w:rsid w:val="00447B48"/>
    <w:rsid w:val="00451923"/>
    <w:rsid w:val="00463DA5"/>
    <w:rsid w:val="00484F02"/>
    <w:rsid w:val="00494FBA"/>
    <w:rsid w:val="004B1FCA"/>
    <w:rsid w:val="004C15DC"/>
    <w:rsid w:val="004F4890"/>
    <w:rsid w:val="00514A11"/>
    <w:rsid w:val="00517A17"/>
    <w:rsid w:val="005227AA"/>
    <w:rsid w:val="005249AF"/>
    <w:rsid w:val="00526A4E"/>
    <w:rsid w:val="005462B7"/>
    <w:rsid w:val="0056251D"/>
    <w:rsid w:val="00574068"/>
    <w:rsid w:val="005B1789"/>
    <w:rsid w:val="005B5247"/>
    <w:rsid w:val="005C22F3"/>
    <w:rsid w:val="005C56CA"/>
    <w:rsid w:val="005C73F3"/>
    <w:rsid w:val="005E1B40"/>
    <w:rsid w:val="005F5F66"/>
    <w:rsid w:val="005F7697"/>
    <w:rsid w:val="00603994"/>
    <w:rsid w:val="00606AE2"/>
    <w:rsid w:val="00625BF9"/>
    <w:rsid w:val="00632A1B"/>
    <w:rsid w:val="0063405C"/>
    <w:rsid w:val="00634E1D"/>
    <w:rsid w:val="00645D9D"/>
    <w:rsid w:val="00660E64"/>
    <w:rsid w:val="006A4063"/>
    <w:rsid w:val="006C16DB"/>
    <w:rsid w:val="006C2409"/>
    <w:rsid w:val="006C480A"/>
    <w:rsid w:val="006C5568"/>
    <w:rsid w:val="006D7863"/>
    <w:rsid w:val="006D7FDC"/>
    <w:rsid w:val="006E7B38"/>
    <w:rsid w:val="00703A00"/>
    <w:rsid w:val="00762A92"/>
    <w:rsid w:val="00766273"/>
    <w:rsid w:val="00774167"/>
    <w:rsid w:val="00774F60"/>
    <w:rsid w:val="007821CD"/>
    <w:rsid w:val="00783554"/>
    <w:rsid w:val="007857A7"/>
    <w:rsid w:val="00793EEB"/>
    <w:rsid w:val="007A2C63"/>
    <w:rsid w:val="007B271C"/>
    <w:rsid w:val="007B57AE"/>
    <w:rsid w:val="007F2A12"/>
    <w:rsid w:val="00804BF5"/>
    <w:rsid w:val="008161E9"/>
    <w:rsid w:val="00817B4A"/>
    <w:rsid w:val="00830744"/>
    <w:rsid w:val="00842D58"/>
    <w:rsid w:val="00842FDC"/>
    <w:rsid w:val="008475C7"/>
    <w:rsid w:val="00853C55"/>
    <w:rsid w:val="00854A7B"/>
    <w:rsid w:val="00865FF9"/>
    <w:rsid w:val="0087027A"/>
    <w:rsid w:val="00875F33"/>
    <w:rsid w:val="00877262"/>
    <w:rsid w:val="00890AB7"/>
    <w:rsid w:val="008B5B36"/>
    <w:rsid w:val="008E0A34"/>
    <w:rsid w:val="00900782"/>
    <w:rsid w:val="0090190B"/>
    <w:rsid w:val="00915EF5"/>
    <w:rsid w:val="00924DA6"/>
    <w:rsid w:val="00962907"/>
    <w:rsid w:val="0096419C"/>
    <w:rsid w:val="00971788"/>
    <w:rsid w:val="009A37C2"/>
    <w:rsid w:val="009A7FDD"/>
    <w:rsid w:val="009B49E4"/>
    <w:rsid w:val="009C556B"/>
    <w:rsid w:val="009C6F72"/>
    <w:rsid w:val="009C70FF"/>
    <w:rsid w:val="009D1777"/>
    <w:rsid w:val="009E078F"/>
    <w:rsid w:val="009E0C8C"/>
    <w:rsid w:val="009E3EAB"/>
    <w:rsid w:val="009F7D8F"/>
    <w:rsid w:val="00A02F50"/>
    <w:rsid w:val="00A1716D"/>
    <w:rsid w:val="00A271E9"/>
    <w:rsid w:val="00A611D3"/>
    <w:rsid w:val="00A65BF9"/>
    <w:rsid w:val="00A94780"/>
    <w:rsid w:val="00AA0991"/>
    <w:rsid w:val="00AA64D7"/>
    <w:rsid w:val="00AB0584"/>
    <w:rsid w:val="00AF6E6B"/>
    <w:rsid w:val="00B15F7B"/>
    <w:rsid w:val="00B35D80"/>
    <w:rsid w:val="00B415B8"/>
    <w:rsid w:val="00B44566"/>
    <w:rsid w:val="00B44F25"/>
    <w:rsid w:val="00B63EF4"/>
    <w:rsid w:val="00B6611A"/>
    <w:rsid w:val="00B73738"/>
    <w:rsid w:val="00B80A04"/>
    <w:rsid w:val="00B911D1"/>
    <w:rsid w:val="00BA5DC3"/>
    <w:rsid w:val="00BD2CF5"/>
    <w:rsid w:val="00C04742"/>
    <w:rsid w:val="00C064E4"/>
    <w:rsid w:val="00C06CDC"/>
    <w:rsid w:val="00C07425"/>
    <w:rsid w:val="00C41482"/>
    <w:rsid w:val="00C7499C"/>
    <w:rsid w:val="00C7766D"/>
    <w:rsid w:val="00C94810"/>
    <w:rsid w:val="00CB2C4D"/>
    <w:rsid w:val="00CB3388"/>
    <w:rsid w:val="00CD3566"/>
    <w:rsid w:val="00CE0EB3"/>
    <w:rsid w:val="00D03FC0"/>
    <w:rsid w:val="00D06B49"/>
    <w:rsid w:val="00D10BC0"/>
    <w:rsid w:val="00D12266"/>
    <w:rsid w:val="00D15752"/>
    <w:rsid w:val="00D23177"/>
    <w:rsid w:val="00D250CC"/>
    <w:rsid w:val="00D44948"/>
    <w:rsid w:val="00D554DA"/>
    <w:rsid w:val="00D672ED"/>
    <w:rsid w:val="00D80D19"/>
    <w:rsid w:val="00D9046E"/>
    <w:rsid w:val="00D91944"/>
    <w:rsid w:val="00D94511"/>
    <w:rsid w:val="00DA7D4A"/>
    <w:rsid w:val="00DB7220"/>
    <w:rsid w:val="00DF1099"/>
    <w:rsid w:val="00DF722C"/>
    <w:rsid w:val="00E03FDB"/>
    <w:rsid w:val="00E05560"/>
    <w:rsid w:val="00E13D7C"/>
    <w:rsid w:val="00E25B66"/>
    <w:rsid w:val="00E33886"/>
    <w:rsid w:val="00E33D26"/>
    <w:rsid w:val="00E34F25"/>
    <w:rsid w:val="00E571D3"/>
    <w:rsid w:val="00E665FC"/>
    <w:rsid w:val="00E72105"/>
    <w:rsid w:val="00E83639"/>
    <w:rsid w:val="00E849F6"/>
    <w:rsid w:val="00E90A4D"/>
    <w:rsid w:val="00E94E0E"/>
    <w:rsid w:val="00E96581"/>
    <w:rsid w:val="00EA10A1"/>
    <w:rsid w:val="00EA4DB9"/>
    <w:rsid w:val="00EB09DE"/>
    <w:rsid w:val="00EC3F70"/>
    <w:rsid w:val="00EC5F3E"/>
    <w:rsid w:val="00EE2719"/>
    <w:rsid w:val="00F10F36"/>
    <w:rsid w:val="00F1312C"/>
    <w:rsid w:val="00F17252"/>
    <w:rsid w:val="00F20723"/>
    <w:rsid w:val="00F31A61"/>
    <w:rsid w:val="00F3566A"/>
    <w:rsid w:val="00F81346"/>
    <w:rsid w:val="00F9554F"/>
    <w:rsid w:val="00FA5050"/>
    <w:rsid w:val="00FA5381"/>
    <w:rsid w:val="00FC638E"/>
    <w:rsid w:val="00FC7D18"/>
    <w:rsid w:val="00FF28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8E"/>
    <w:rPr>
      <w:szCs w:val="22"/>
      <w:lang w:val="en-GB"/>
    </w:rPr>
  </w:style>
  <w:style w:type="paragraph" w:styleId="Heading1">
    <w:name w:val="heading 1"/>
    <w:basedOn w:val="Normal"/>
    <w:next w:val="Normal"/>
    <w:link w:val="Heading1Char"/>
    <w:uiPriority w:val="9"/>
    <w:qFormat/>
    <w:rsid w:val="001D4433"/>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06CDC"/>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433"/>
    <w:rPr>
      <w:rFonts w:eastAsiaTheme="majorEastAsia" w:cstheme="majorBidi"/>
      <w:b/>
      <w:bCs/>
      <w:szCs w:val="28"/>
      <w:lang w:val="en-GB"/>
    </w:rPr>
  </w:style>
  <w:style w:type="paragraph" w:styleId="Subtitle">
    <w:name w:val="Subtitle"/>
    <w:basedOn w:val="Normal"/>
    <w:next w:val="Normal"/>
    <w:link w:val="SubtitleChar"/>
    <w:uiPriority w:val="11"/>
    <w:qFormat/>
    <w:rsid w:val="001D4433"/>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sid w:val="001D4433"/>
    <w:rPr>
      <w:rFonts w:eastAsiaTheme="majorEastAsia" w:cstheme="majorBidi"/>
      <w:iCs/>
      <w:spacing w:val="15"/>
      <w:sz w:val="20"/>
    </w:rPr>
  </w:style>
  <w:style w:type="character" w:customStyle="1" w:styleId="Heading2Char">
    <w:name w:val="Heading 2 Char"/>
    <w:basedOn w:val="DefaultParagraphFont"/>
    <w:link w:val="Heading2"/>
    <w:uiPriority w:val="9"/>
    <w:rsid w:val="00C06CDC"/>
    <w:rPr>
      <w:rFonts w:eastAsiaTheme="majorEastAsia" w:cstheme="majorBidi"/>
      <w:b/>
      <w:bCs/>
      <w:szCs w:val="26"/>
      <w:lang w:val="en-GB"/>
    </w:rPr>
  </w:style>
  <w:style w:type="character" w:styleId="Hyperlink">
    <w:name w:val="Hyperlink"/>
    <w:basedOn w:val="DefaultParagraphFont"/>
    <w:uiPriority w:val="99"/>
    <w:unhideWhenUsed/>
    <w:rsid w:val="00660E64"/>
    <w:rPr>
      <w:color w:val="0000FF" w:themeColor="hyperlink"/>
      <w:u w:val="single"/>
    </w:rPr>
  </w:style>
  <w:style w:type="paragraph" w:styleId="FootnoteText">
    <w:name w:val="footnote text"/>
    <w:basedOn w:val="Normal"/>
    <w:link w:val="FootnoteTextChar"/>
    <w:uiPriority w:val="99"/>
    <w:unhideWhenUsed/>
    <w:rsid w:val="00305F21"/>
    <w:rPr>
      <w:sz w:val="20"/>
      <w:szCs w:val="20"/>
    </w:rPr>
  </w:style>
  <w:style w:type="character" w:customStyle="1" w:styleId="FootnoteTextChar">
    <w:name w:val="Footnote Text Char"/>
    <w:basedOn w:val="DefaultParagraphFont"/>
    <w:link w:val="FootnoteText"/>
    <w:uiPriority w:val="99"/>
    <w:rsid w:val="00305F21"/>
    <w:rPr>
      <w:sz w:val="20"/>
      <w:szCs w:val="20"/>
      <w:lang w:val="en-GB"/>
    </w:rPr>
  </w:style>
  <w:style w:type="character" w:styleId="FootnoteReference">
    <w:name w:val="footnote reference"/>
    <w:basedOn w:val="DefaultParagraphFont"/>
    <w:uiPriority w:val="99"/>
    <w:semiHidden/>
    <w:unhideWhenUsed/>
    <w:rsid w:val="00305F21"/>
    <w:rPr>
      <w:vertAlign w:val="superscript"/>
    </w:rPr>
  </w:style>
  <w:style w:type="paragraph" w:styleId="ListParagraph">
    <w:name w:val="List Paragraph"/>
    <w:basedOn w:val="Normal"/>
    <w:uiPriority w:val="34"/>
    <w:qFormat/>
    <w:rsid w:val="000B42CF"/>
    <w:pPr>
      <w:ind w:left="720"/>
      <w:contextualSpacing/>
    </w:pPr>
  </w:style>
  <w:style w:type="paragraph" w:styleId="BalloonText">
    <w:name w:val="Balloon Text"/>
    <w:basedOn w:val="Normal"/>
    <w:link w:val="BalloonTextChar"/>
    <w:uiPriority w:val="99"/>
    <w:semiHidden/>
    <w:unhideWhenUsed/>
    <w:rsid w:val="001A664C"/>
    <w:rPr>
      <w:rFonts w:ascii="Tahoma" w:hAnsi="Tahoma" w:cs="Tahoma"/>
      <w:sz w:val="16"/>
      <w:szCs w:val="16"/>
    </w:rPr>
  </w:style>
  <w:style w:type="character" w:customStyle="1" w:styleId="BalloonTextChar">
    <w:name w:val="Balloon Text Char"/>
    <w:basedOn w:val="DefaultParagraphFont"/>
    <w:link w:val="BalloonText"/>
    <w:uiPriority w:val="99"/>
    <w:semiHidden/>
    <w:rsid w:val="001A664C"/>
    <w:rPr>
      <w:rFonts w:ascii="Tahoma" w:hAnsi="Tahoma" w:cs="Tahoma"/>
      <w:sz w:val="16"/>
      <w:szCs w:val="16"/>
      <w:lang w:val="en-GB"/>
    </w:rPr>
  </w:style>
  <w:style w:type="paragraph" w:styleId="DocumentMap">
    <w:name w:val="Document Map"/>
    <w:basedOn w:val="Normal"/>
    <w:link w:val="DocumentMapChar"/>
    <w:uiPriority w:val="99"/>
    <w:semiHidden/>
    <w:unhideWhenUsed/>
    <w:rsid w:val="00D10BC0"/>
    <w:rPr>
      <w:rFonts w:ascii="Tahoma" w:hAnsi="Tahoma" w:cs="Tahoma"/>
      <w:sz w:val="16"/>
      <w:szCs w:val="16"/>
    </w:rPr>
  </w:style>
  <w:style w:type="character" w:customStyle="1" w:styleId="DocumentMapChar">
    <w:name w:val="Document Map Char"/>
    <w:basedOn w:val="DefaultParagraphFont"/>
    <w:link w:val="DocumentMap"/>
    <w:uiPriority w:val="99"/>
    <w:semiHidden/>
    <w:rsid w:val="00D10BC0"/>
    <w:rPr>
      <w:rFonts w:ascii="Tahoma" w:hAnsi="Tahoma" w:cs="Tahoma"/>
      <w:sz w:val="16"/>
      <w:szCs w:val="16"/>
      <w:lang w:val="en-GB"/>
    </w:rPr>
  </w:style>
  <w:style w:type="character" w:styleId="FollowedHyperlink">
    <w:name w:val="FollowedHyperlink"/>
    <w:basedOn w:val="DefaultParagraphFont"/>
    <w:uiPriority w:val="99"/>
    <w:semiHidden/>
    <w:unhideWhenUsed/>
    <w:rsid w:val="009B49E4"/>
    <w:rPr>
      <w:color w:val="800080" w:themeColor="followedHyperlink"/>
      <w:u w:val="single"/>
    </w:rPr>
  </w:style>
  <w:style w:type="paragraph" w:styleId="Header">
    <w:name w:val="header"/>
    <w:basedOn w:val="Normal"/>
    <w:link w:val="HeaderChar"/>
    <w:uiPriority w:val="99"/>
    <w:semiHidden/>
    <w:unhideWhenUsed/>
    <w:rsid w:val="001908CC"/>
    <w:pPr>
      <w:tabs>
        <w:tab w:val="center" w:pos="4680"/>
        <w:tab w:val="right" w:pos="9360"/>
      </w:tabs>
    </w:pPr>
  </w:style>
  <w:style w:type="character" w:customStyle="1" w:styleId="HeaderChar">
    <w:name w:val="Header Char"/>
    <w:basedOn w:val="DefaultParagraphFont"/>
    <w:link w:val="Header"/>
    <w:uiPriority w:val="99"/>
    <w:semiHidden/>
    <w:rsid w:val="001908CC"/>
    <w:rPr>
      <w:szCs w:val="22"/>
      <w:lang w:val="en-GB"/>
    </w:rPr>
  </w:style>
  <w:style w:type="paragraph" w:styleId="Footer">
    <w:name w:val="footer"/>
    <w:basedOn w:val="Normal"/>
    <w:link w:val="FooterChar"/>
    <w:uiPriority w:val="99"/>
    <w:unhideWhenUsed/>
    <w:rsid w:val="001908CC"/>
    <w:pPr>
      <w:tabs>
        <w:tab w:val="center" w:pos="4680"/>
        <w:tab w:val="right" w:pos="9360"/>
      </w:tabs>
    </w:pPr>
  </w:style>
  <w:style w:type="character" w:customStyle="1" w:styleId="FooterChar">
    <w:name w:val="Footer Char"/>
    <w:basedOn w:val="DefaultParagraphFont"/>
    <w:link w:val="Footer"/>
    <w:uiPriority w:val="99"/>
    <w:rsid w:val="001908CC"/>
    <w:rPr>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38E"/>
    <w:rPr>
      <w:szCs w:val="22"/>
      <w:lang w:val="en-GB"/>
    </w:rPr>
  </w:style>
  <w:style w:type="paragraph" w:styleId="Heading1">
    <w:name w:val="heading 1"/>
    <w:basedOn w:val="Normal"/>
    <w:next w:val="Normal"/>
    <w:link w:val="Heading1Char"/>
    <w:uiPriority w:val="9"/>
    <w:qFormat/>
    <w:rsid w:val="001D4433"/>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06CDC"/>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433"/>
    <w:rPr>
      <w:rFonts w:eastAsiaTheme="majorEastAsia" w:cstheme="majorBidi"/>
      <w:b/>
      <w:bCs/>
      <w:szCs w:val="28"/>
      <w:lang w:val="en-GB"/>
    </w:rPr>
  </w:style>
  <w:style w:type="paragraph" w:styleId="Subtitle">
    <w:name w:val="Subtitle"/>
    <w:basedOn w:val="Normal"/>
    <w:next w:val="Normal"/>
    <w:link w:val="SubtitleChar"/>
    <w:uiPriority w:val="11"/>
    <w:qFormat/>
    <w:rsid w:val="001D4433"/>
    <w:pPr>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sid w:val="001D4433"/>
    <w:rPr>
      <w:rFonts w:eastAsiaTheme="majorEastAsia" w:cstheme="majorBidi"/>
      <w:iCs/>
      <w:spacing w:val="15"/>
      <w:sz w:val="20"/>
    </w:rPr>
  </w:style>
  <w:style w:type="character" w:customStyle="1" w:styleId="Heading2Char">
    <w:name w:val="Heading 2 Char"/>
    <w:basedOn w:val="DefaultParagraphFont"/>
    <w:link w:val="Heading2"/>
    <w:uiPriority w:val="9"/>
    <w:rsid w:val="00C06CDC"/>
    <w:rPr>
      <w:rFonts w:eastAsiaTheme="majorEastAsia" w:cstheme="majorBidi"/>
      <w:b/>
      <w:bCs/>
      <w:szCs w:val="26"/>
      <w:lang w:val="en-GB"/>
    </w:rPr>
  </w:style>
  <w:style w:type="character" w:styleId="Hyperlink">
    <w:name w:val="Hyperlink"/>
    <w:basedOn w:val="DefaultParagraphFont"/>
    <w:uiPriority w:val="99"/>
    <w:unhideWhenUsed/>
    <w:rsid w:val="00660E64"/>
    <w:rPr>
      <w:color w:val="0000FF" w:themeColor="hyperlink"/>
      <w:u w:val="single"/>
    </w:rPr>
  </w:style>
  <w:style w:type="paragraph" w:styleId="FootnoteText">
    <w:name w:val="footnote text"/>
    <w:basedOn w:val="Normal"/>
    <w:link w:val="FootnoteTextChar"/>
    <w:uiPriority w:val="99"/>
    <w:semiHidden/>
    <w:unhideWhenUsed/>
    <w:rsid w:val="00305F21"/>
    <w:rPr>
      <w:sz w:val="20"/>
      <w:szCs w:val="20"/>
    </w:rPr>
  </w:style>
  <w:style w:type="character" w:customStyle="1" w:styleId="FootnoteTextChar">
    <w:name w:val="Footnote Text Char"/>
    <w:basedOn w:val="DefaultParagraphFont"/>
    <w:link w:val="FootnoteText"/>
    <w:uiPriority w:val="99"/>
    <w:semiHidden/>
    <w:rsid w:val="00305F21"/>
    <w:rPr>
      <w:sz w:val="20"/>
      <w:szCs w:val="20"/>
      <w:lang w:val="en-GB"/>
    </w:rPr>
  </w:style>
  <w:style w:type="character" w:styleId="FootnoteReference">
    <w:name w:val="footnote reference"/>
    <w:basedOn w:val="DefaultParagraphFont"/>
    <w:uiPriority w:val="99"/>
    <w:semiHidden/>
    <w:unhideWhenUsed/>
    <w:rsid w:val="00305F21"/>
    <w:rPr>
      <w:vertAlign w:val="superscript"/>
    </w:rPr>
  </w:style>
  <w:style w:type="paragraph" w:styleId="ListParagraph">
    <w:name w:val="List Paragraph"/>
    <w:basedOn w:val="Normal"/>
    <w:uiPriority w:val="34"/>
    <w:qFormat/>
    <w:rsid w:val="000B42C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1608</Words>
  <Characters>9411</Characters>
  <Application>Microsoft Office Word</Application>
  <DocSecurity>0</DocSecurity>
  <Lines>147</Lines>
  <Paragraphs>17</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11002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Pegram</dc:creator>
  <cp:lastModifiedBy>Tom</cp:lastModifiedBy>
  <cp:revision>28</cp:revision>
  <dcterms:created xsi:type="dcterms:W3CDTF">2011-05-16T02:25:00Z</dcterms:created>
  <dcterms:modified xsi:type="dcterms:W3CDTF">2014-07-29T19:32:00Z</dcterms:modified>
</cp:coreProperties>
</file>